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黑体" w:hAnsi="黑体" w:eastAsia="黑体" w:cs="黑体"/>
          <w:spacing w:val="-6"/>
          <w:sz w:val="28"/>
          <w:szCs w:val="28"/>
        </w:rPr>
      </w:pPr>
      <w:r>
        <w:rPr>
          <w:rFonts w:hint="eastAsia" w:ascii="黑体" w:hAnsi="黑体" w:eastAsia="黑体" w:cs="黑体"/>
          <w:spacing w:val="-6"/>
          <w:sz w:val="28"/>
          <w:szCs w:val="28"/>
        </w:rPr>
        <w:t>附 件</w:t>
      </w:r>
    </w:p>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仿宋" w:hAnsi="仿宋" w:eastAsia="仿宋" w:cs="仿宋"/>
          <w:spacing w:val="-6"/>
          <w:sz w:val="28"/>
          <w:szCs w:val="28"/>
        </w:rPr>
      </w:pPr>
      <w:r>
        <w:rPr>
          <w:rFonts w:hint="eastAsia" w:ascii="宋体" w:hAnsi="宋体" w:eastAsia="宋体" w:cs="宋体"/>
          <w:b/>
          <w:bCs/>
          <w:spacing w:val="-6"/>
          <w:sz w:val="44"/>
          <w:szCs w:val="44"/>
        </w:rPr>
        <w:t>云南省新闻单位驻地方机构2022、2023年度综合评估表</w:t>
      </w:r>
    </w:p>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rPr>
      </w:pPr>
      <w:r>
        <w:rPr>
          <w:rFonts w:hint="eastAsia" w:ascii="仿宋" w:hAnsi="仿宋" w:eastAsia="仿宋" w:cs="仿宋"/>
          <w:spacing w:val="-6"/>
          <w:sz w:val="28"/>
          <w:szCs w:val="28"/>
        </w:rPr>
        <w:t>新闻单位驻地方机构名称</w:t>
      </w:r>
      <w:r>
        <w:rPr>
          <w:rFonts w:hint="eastAsia" w:ascii="仿宋" w:hAnsi="仿宋" w:eastAsia="仿宋" w:cs="仿宋"/>
          <w:spacing w:val="-6"/>
          <w:sz w:val="28"/>
          <w:szCs w:val="28"/>
          <w:u w:val="none"/>
        </w:rPr>
        <w:t>：</w:t>
      </w:r>
      <w:r>
        <w:rPr>
          <w:rFonts w:hint="eastAsia" w:ascii="仿宋" w:hAnsi="仿宋" w:eastAsia="仿宋" w:cs="仿宋"/>
          <w:spacing w:val="-6"/>
          <w:sz w:val="28"/>
          <w:szCs w:val="28"/>
          <w:u w:val="single"/>
        </w:rPr>
        <w:t xml:space="preserve">                      </w:t>
      </w:r>
      <w:r>
        <w:rPr>
          <w:rFonts w:hint="eastAsia" w:ascii="仿宋" w:hAnsi="仿宋" w:eastAsia="仿宋" w:cs="仿宋"/>
          <w:spacing w:val="-6"/>
          <w:sz w:val="28"/>
          <w:szCs w:val="28"/>
        </w:rPr>
        <w:t xml:space="preserve">      </w:t>
      </w:r>
    </w:p>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rPr>
      </w:pPr>
      <w:r>
        <w:rPr>
          <w:rFonts w:hint="eastAsia" w:ascii="仿宋" w:hAnsi="仿宋" w:eastAsia="仿宋" w:cs="仿宋"/>
          <w:spacing w:val="-6"/>
          <w:sz w:val="28"/>
          <w:szCs w:val="28"/>
        </w:rPr>
        <w:t>新闻单位：</w:t>
      </w:r>
      <w:r>
        <w:rPr>
          <w:rFonts w:hint="eastAsia" w:ascii="仿宋" w:hAnsi="仿宋" w:eastAsia="仿宋" w:cs="仿宋"/>
          <w:spacing w:val="-6"/>
          <w:sz w:val="28"/>
          <w:szCs w:val="28"/>
          <w:u w:val="single"/>
        </w:rPr>
        <w:t xml:space="preserve">               </w:t>
      </w:r>
      <w:r>
        <w:rPr>
          <w:rFonts w:hint="eastAsia" w:ascii="仿宋" w:hAnsi="仿宋" w:eastAsia="仿宋" w:cs="仿宋"/>
          <w:spacing w:val="-6"/>
          <w:sz w:val="28"/>
          <w:szCs w:val="28"/>
          <w:u w:val="single"/>
          <w:lang w:val="en-US" w:eastAsia="zh-CN"/>
        </w:rPr>
        <w:t xml:space="preserve"> </w:t>
      </w:r>
      <w:r>
        <w:rPr>
          <w:rFonts w:hint="eastAsia" w:ascii="仿宋" w:hAnsi="仿宋" w:eastAsia="仿宋" w:cs="仿宋"/>
          <w:spacing w:val="-6"/>
          <w:sz w:val="28"/>
          <w:szCs w:val="28"/>
          <w:u w:val="single"/>
        </w:rPr>
        <w:t>(盖章)</w:t>
      </w:r>
      <w:r>
        <w:rPr>
          <w:rFonts w:hint="eastAsia" w:ascii="仿宋" w:hAnsi="仿宋" w:eastAsia="仿宋" w:cs="仿宋"/>
          <w:spacing w:val="-6"/>
          <w:sz w:val="28"/>
          <w:szCs w:val="28"/>
        </w:rPr>
        <w:t>地市级新闻出版管理部门：</w:t>
      </w:r>
      <w:r>
        <w:rPr>
          <w:rFonts w:hint="eastAsia" w:ascii="仿宋" w:hAnsi="仿宋" w:eastAsia="仿宋" w:cs="仿宋"/>
          <w:spacing w:val="-6"/>
          <w:sz w:val="28"/>
          <w:szCs w:val="28"/>
          <w:u w:val="single"/>
        </w:rPr>
        <w:t xml:space="preserve">                (盖章)</w:t>
      </w:r>
      <w:r>
        <w:rPr>
          <w:rFonts w:hint="eastAsia" w:ascii="仿宋" w:hAnsi="仿宋" w:eastAsia="仿宋" w:cs="仿宋"/>
          <w:spacing w:val="-6"/>
          <w:sz w:val="28"/>
          <w:szCs w:val="28"/>
        </w:rPr>
        <w:t xml:space="preserve">(中央新闻单位此项可不填)          </w:t>
      </w:r>
    </w:p>
    <w:tbl>
      <w:tblPr>
        <w:tblStyle w:val="5"/>
        <w:tblW w:w="15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2"/>
        <w:gridCol w:w="5108"/>
        <w:gridCol w:w="1733"/>
        <w:gridCol w:w="1234"/>
        <w:gridCol w:w="1750"/>
        <w:gridCol w:w="1283"/>
        <w:gridCol w:w="1717"/>
        <w:gridCol w:w="1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00"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仿宋" w:hAnsi="仿宋" w:eastAsia="仿宋" w:cs="仿宋"/>
                <w:spacing w:val="-6"/>
                <w:sz w:val="28"/>
                <w:szCs w:val="28"/>
                <w:vertAlign w:val="baseline"/>
              </w:rPr>
            </w:pPr>
            <w:r>
              <w:rPr>
                <w:rFonts w:ascii="宋体" w:hAnsi="宋体" w:eastAsia="宋体" w:cs="宋体"/>
                <w:b/>
                <w:bCs/>
                <w:spacing w:val="-4"/>
                <w:sz w:val="22"/>
                <w:szCs w:val="22"/>
              </w:rPr>
              <w:t>评估指标</w:t>
            </w:r>
          </w:p>
        </w:tc>
        <w:tc>
          <w:tcPr>
            <w:tcW w:w="2967"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仿宋" w:hAnsi="仿宋" w:eastAsia="仿宋" w:cs="仿宋"/>
                <w:spacing w:val="-6"/>
                <w:sz w:val="28"/>
                <w:szCs w:val="28"/>
                <w:vertAlign w:val="baseline"/>
              </w:rPr>
            </w:pPr>
            <w:r>
              <w:rPr>
                <w:rFonts w:ascii="宋体" w:hAnsi="宋体" w:eastAsia="宋体" w:cs="宋体"/>
                <w:b/>
                <w:bCs/>
                <w:spacing w:val="-4"/>
                <w:sz w:val="22"/>
                <w:szCs w:val="22"/>
              </w:rPr>
              <w:t>驻地方机构自评</w:t>
            </w:r>
          </w:p>
        </w:tc>
        <w:tc>
          <w:tcPr>
            <w:tcW w:w="3033"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仿宋" w:hAnsi="仿宋" w:eastAsia="仿宋" w:cs="仿宋"/>
                <w:spacing w:val="-6"/>
                <w:sz w:val="28"/>
                <w:szCs w:val="28"/>
                <w:vertAlign w:val="baseline"/>
              </w:rPr>
            </w:pPr>
            <w:r>
              <w:rPr>
                <w:rFonts w:ascii="宋体" w:hAnsi="宋体" w:eastAsia="宋体" w:cs="宋体"/>
                <w:b/>
                <w:bCs/>
                <w:spacing w:val="-4"/>
                <w:sz w:val="22"/>
                <w:szCs w:val="22"/>
              </w:rPr>
              <w:t>新闻单位评估</w:t>
            </w:r>
          </w:p>
        </w:tc>
        <w:tc>
          <w:tcPr>
            <w:tcW w:w="2983"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仿宋" w:hAnsi="仿宋" w:eastAsia="仿宋" w:cs="仿宋"/>
                <w:spacing w:val="-6"/>
                <w:sz w:val="28"/>
                <w:szCs w:val="28"/>
                <w:vertAlign w:val="baseline"/>
              </w:rPr>
            </w:pPr>
            <w:r>
              <w:rPr>
                <w:rFonts w:ascii="宋体" w:hAnsi="宋体" w:eastAsia="宋体" w:cs="宋体"/>
                <w:b/>
                <w:bCs/>
                <w:spacing w:val="-4"/>
                <w:sz w:val="22"/>
                <w:szCs w:val="22"/>
              </w:rPr>
              <w:t>地市级评估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2" w:type="dxa"/>
            <w:vAlign w:val="center"/>
          </w:tcPr>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仿宋" w:hAnsi="仿宋" w:eastAsia="仿宋" w:cs="仿宋"/>
                <w:spacing w:val="-6"/>
                <w:sz w:val="28"/>
                <w:szCs w:val="28"/>
                <w:vertAlign w:val="baseline"/>
              </w:rPr>
            </w:pPr>
            <w:r>
              <w:rPr>
                <w:rFonts w:ascii="宋体" w:hAnsi="宋体" w:eastAsia="宋体" w:cs="宋体"/>
                <w:b/>
                <w:bCs/>
                <w:spacing w:val="15"/>
                <w:sz w:val="22"/>
                <w:szCs w:val="22"/>
              </w:rPr>
              <w:t>项目</w:t>
            </w:r>
          </w:p>
        </w:tc>
        <w:tc>
          <w:tcPr>
            <w:tcW w:w="5108" w:type="dxa"/>
            <w:vAlign w:val="center"/>
          </w:tcPr>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仿宋" w:hAnsi="仿宋" w:eastAsia="仿宋" w:cs="仿宋"/>
                <w:spacing w:val="-6"/>
                <w:sz w:val="28"/>
                <w:szCs w:val="28"/>
                <w:vertAlign w:val="baseline"/>
              </w:rPr>
            </w:pPr>
            <w:r>
              <w:rPr>
                <w:rFonts w:ascii="宋体" w:hAnsi="宋体" w:eastAsia="宋体" w:cs="宋体"/>
                <w:b/>
                <w:bCs/>
                <w:spacing w:val="41"/>
                <w:sz w:val="22"/>
                <w:szCs w:val="22"/>
              </w:rPr>
              <w:t>评估内容</w:t>
            </w:r>
          </w:p>
        </w:tc>
        <w:tc>
          <w:tcPr>
            <w:tcW w:w="1733" w:type="dxa"/>
            <w:vAlign w:val="top"/>
          </w:tcPr>
          <w:p>
            <w:pPr>
              <w:widowControl w:val="0"/>
              <w:spacing w:before="67" w:line="219" w:lineRule="auto"/>
              <w:ind w:left="547"/>
              <w:jc w:val="both"/>
              <w:rPr>
                <w:rFonts w:ascii="宋体" w:hAnsi="宋体" w:eastAsia="宋体" w:cs="宋体"/>
                <w:sz w:val="22"/>
                <w:szCs w:val="22"/>
              </w:rPr>
            </w:pPr>
            <w:r>
              <w:rPr>
                <w:rFonts w:ascii="宋体" w:hAnsi="宋体" w:eastAsia="宋体" w:cs="宋体"/>
                <w:b/>
                <w:bCs/>
                <w:spacing w:val="-5"/>
                <w:sz w:val="22"/>
                <w:szCs w:val="22"/>
              </w:rPr>
              <w:t>等级</w:t>
            </w:r>
          </w:p>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r>
              <w:rPr>
                <w:rFonts w:ascii="宋体" w:hAnsi="宋体" w:eastAsia="宋体" w:cs="宋体"/>
                <w:spacing w:val="16"/>
                <w:sz w:val="21"/>
                <w:szCs w:val="21"/>
              </w:rPr>
              <w:t>(优秀、良好、</w:t>
            </w:r>
            <w:r>
              <w:rPr>
                <w:rFonts w:ascii="宋体" w:hAnsi="宋体" w:eastAsia="宋体" w:cs="宋体"/>
                <w:spacing w:val="8"/>
                <w:sz w:val="21"/>
                <w:szCs w:val="21"/>
              </w:rPr>
              <w:t>合格、不合格)</w:t>
            </w:r>
          </w:p>
        </w:tc>
        <w:tc>
          <w:tcPr>
            <w:tcW w:w="1234"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仿宋" w:hAnsi="仿宋" w:eastAsia="仿宋" w:cs="仿宋"/>
                <w:spacing w:val="-6"/>
                <w:sz w:val="28"/>
                <w:szCs w:val="28"/>
                <w:vertAlign w:val="baseline"/>
              </w:rPr>
            </w:pPr>
            <w:r>
              <w:rPr>
                <w:rFonts w:ascii="宋体" w:hAnsi="宋体" w:eastAsia="宋体" w:cs="宋体"/>
                <w:b/>
                <w:bCs/>
                <w:spacing w:val="-5"/>
                <w:sz w:val="22"/>
                <w:szCs w:val="22"/>
              </w:rPr>
              <w:t>原因简述</w:t>
            </w:r>
          </w:p>
        </w:tc>
        <w:tc>
          <w:tcPr>
            <w:tcW w:w="1750" w:type="dxa"/>
            <w:vAlign w:val="top"/>
          </w:tcPr>
          <w:p>
            <w:pPr>
              <w:widowControl w:val="0"/>
              <w:spacing w:before="67" w:line="219" w:lineRule="auto"/>
              <w:ind w:left="547"/>
              <w:jc w:val="both"/>
              <w:rPr>
                <w:rFonts w:ascii="宋体" w:hAnsi="宋体" w:eastAsia="宋体" w:cs="宋体"/>
                <w:sz w:val="22"/>
                <w:szCs w:val="22"/>
              </w:rPr>
            </w:pPr>
            <w:r>
              <w:rPr>
                <w:rFonts w:ascii="宋体" w:hAnsi="宋体" w:eastAsia="宋体" w:cs="宋体"/>
                <w:b/>
                <w:bCs/>
                <w:spacing w:val="-5"/>
                <w:sz w:val="22"/>
                <w:szCs w:val="22"/>
              </w:rPr>
              <w:t>等级</w:t>
            </w:r>
          </w:p>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r>
              <w:rPr>
                <w:rFonts w:ascii="宋体" w:hAnsi="宋体" w:eastAsia="宋体" w:cs="宋体"/>
                <w:spacing w:val="16"/>
                <w:sz w:val="21"/>
                <w:szCs w:val="21"/>
              </w:rPr>
              <w:t>(优秀、良好</w:t>
            </w:r>
            <w:bookmarkStart w:id="0" w:name="_GoBack"/>
            <w:bookmarkEnd w:id="0"/>
            <w:r>
              <w:rPr>
                <w:rFonts w:ascii="宋体" w:hAnsi="宋体" w:eastAsia="宋体" w:cs="宋体"/>
                <w:spacing w:val="16"/>
                <w:sz w:val="21"/>
                <w:szCs w:val="21"/>
              </w:rPr>
              <w:t>、</w:t>
            </w:r>
            <w:r>
              <w:rPr>
                <w:rFonts w:ascii="宋体" w:hAnsi="宋体" w:eastAsia="宋体" w:cs="宋体"/>
                <w:spacing w:val="5"/>
                <w:sz w:val="21"/>
                <w:szCs w:val="21"/>
              </w:rPr>
              <w:t xml:space="preserve"> </w:t>
            </w:r>
            <w:r>
              <w:rPr>
                <w:rFonts w:ascii="宋体" w:hAnsi="宋体" w:eastAsia="宋体" w:cs="宋体"/>
                <w:spacing w:val="8"/>
                <w:sz w:val="21"/>
                <w:szCs w:val="21"/>
              </w:rPr>
              <w:t>合格、不合格)</w:t>
            </w:r>
          </w:p>
        </w:tc>
        <w:tc>
          <w:tcPr>
            <w:tcW w:w="1283"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仿宋" w:hAnsi="仿宋" w:eastAsia="仿宋" w:cs="仿宋"/>
                <w:spacing w:val="-6"/>
                <w:sz w:val="28"/>
                <w:szCs w:val="28"/>
                <w:vertAlign w:val="baseline"/>
              </w:rPr>
            </w:pPr>
            <w:r>
              <w:rPr>
                <w:rFonts w:ascii="宋体" w:hAnsi="宋体" w:eastAsia="宋体" w:cs="宋体"/>
                <w:b/>
                <w:bCs/>
                <w:spacing w:val="-5"/>
                <w:sz w:val="22"/>
                <w:szCs w:val="22"/>
              </w:rPr>
              <w:t>原因简述</w:t>
            </w:r>
          </w:p>
        </w:tc>
        <w:tc>
          <w:tcPr>
            <w:tcW w:w="1717" w:type="dxa"/>
            <w:vAlign w:val="top"/>
          </w:tcPr>
          <w:p>
            <w:pPr>
              <w:widowControl w:val="0"/>
              <w:spacing w:before="67" w:line="219" w:lineRule="auto"/>
              <w:ind w:left="547"/>
              <w:jc w:val="both"/>
              <w:rPr>
                <w:rFonts w:ascii="宋体" w:hAnsi="宋体" w:eastAsia="宋体" w:cs="宋体"/>
                <w:sz w:val="22"/>
                <w:szCs w:val="22"/>
              </w:rPr>
            </w:pPr>
            <w:r>
              <w:rPr>
                <w:rFonts w:ascii="宋体" w:hAnsi="宋体" w:eastAsia="宋体" w:cs="宋体"/>
                <w:b/>
                <w:bCs/>
                <w:spacing w:val="-5"/>
                <w:sz w:val="22"/>
                <w:szCs w:val="22"/>
              </w:rPr>
              <w:t>等级</w:t>
            </w:r>
          </w:p>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r>
              <w:rPr>
                <w:rFonts w:ascii="宋体" w:hAnsi="宋体" w:eastAsia="宋体" w:cs="宋体"/>
                <w:spacing w:val="16"/>
                <w:sz w:val="21"/>
                <w:szCs w:val="21"/>
              </w:rPr>
              <w:t>(优秀、良好、</w:t>
            </w:r>
            <w:r>
              <w:rPr>
                <w:rFonts w:ascii="宋体" w:hAnsi="宋体" w:eastAsia="宋体" w:cs="宋体"/>
                <w:spacing w:val="5"/>
                <w:sz w:val="21"/>
                <w:szCs w:val="21"/>
              </w:rPr>
              <w:t xml:space="preserve"> </w:t>
            </w:r>
            <w:r>
              <w:rPr>
                <w:rFonts w:ascii="宋体" w:hAnsi="宋体" w:eastAsia="宋体" w:cs="宋体"/>
                <w:spacing w:val="8"/>
                <w:sz w:val="21"/>
                <w:szCs w:val="21"/>
              </w:rPr>
              <w:t>合格、不合格)</w:t>
            </w:r>
          </w:p>
        </w:tc>
        <w:tc>
          <w:tcPr>
            <w:tcW w:w="1266"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仿宋" w:hAnsi="仿宋" w:eastAsia="仿宋" w:cs="仿宋"/>
                <w:spacing w:val="-6"/>
                <w:sz w:val="28"/>
                <w:szCs w:val="28"/>
                <w:vertAlign w:val="baseline"/>
              </w:rPr>
            </w:pPr>
            <w:r>
              <w:rPr>
                <w:rFonts w:ascii="宋体" w:hAnsi="宋体" w:eastAsia="宋体" w:cs="宋体"/>
                <w:b/>
                <w:bCs/>
                <w:spacing w:val="-5"/>
                <w:sz w:val="22"/>
                <w:szCs w:val="22"/>
              </w:rPr>
              <w:t>原因简述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2" w:type="dxa"/>
            <w:vAlign w:val="center"/>
          </w:tcPr>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ascii="宋体" w:hAnsi="宋体" w:eastAsia="宋体" w:cs="宋体"/>
                <w:sz w:val="22"/>
                <w:szCs w:val="22"/>
              </w:rPr>
            </w:pPr>
            <w:r>
              <w:rPr>
                <w:rFonts w:ascii="宋体" w:hAnsi="宋体" w:eastAsia="宋体" w:cs="宋体"/>
                <w:spacing w:val="4"/>
                <w:sz w:val="22"/>
                <w:szCs w:val="22"/>
              </w:rPr>
              <w:t>导向管</w:t>
            </w:r>
          </w:p>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仿宋" w:hAnsi="仿宋" w:eastAsia="仿宋" w:cs="仿宋"/>
                <w:spacing w:val="-6"/>
                <w:sz w:val="28"/>
                <w:szCs w:val="28"/>
                <w:vertAlign w:val="baseline"/>
              </w:rPr>
            </w:pPr>
            <w:r>
              <w:rPr>
                <w:rFonts w:ascii="宋体" w:hAnsi="宋体" w:eastAsia="宋体" w:cs="宋体"/>
                <w:spacing w:val="3"/>
                <w:sz w:val="22"/>
                <w:szCs w:val="22"/>
              </w:rPr>
              <w:t>理情况</w:t>
            </w:r>
          </w:p>
        </w:tc>
        <w:tc>
          <w:tcPr>
            <w:tcW w:w="5108" w:type="dxa"/>
            <w:vAlign w:val="top"/>
          </w:tcPr>
          <w:p>
            <w:pPr>
              <w:widowControl w:val="0"/>
              <w:spacing w:before="149" w:line="292" w:lineRule="auto"/>
              <w:jc w:val="both"/>
              <w:rPr>
                <w:rFonts w:hint="eastAsia" w:ascii="宋体" w:hAnsi="宋体" w:eastAsia="宋体" w:cs="宋体"/>
                <w:spacing w:val="6"/>
                <w:sz w:val="21"/>
                <w:szCs w:val="21"/>
              </w:rPr>
            </w:pPr>
            <w:r>
              <w:rPr>
                <w:rFonts w:hint="eastAsia" w:ascii="宋体" w:hAnsi="宋体" w:eastAsia="宋体" w:cs="宋体"/>
                <w:spacing w:val="16"/>
                <w:sz w:val="21"/>
                <w:szCs w:val="21"/>
              </w:rPr>
              <w:t>1.新闻单位驻地方机构是否以习近平新时代中国</w:t>
            </w:r>
            <w:r>
              <w:rPr>
                <w:rFonts w:hint="eastAsia" w:ascii="宋体" w:hAnsi="宋体" w:eastAsia="宋体" w:cs="宋体"/>
                <w:spacing w:val="6"/>
                <w:sz w:val="21"/>
                <w:szCs w:val="21"/>
              </w:rPr>
              <w:t>特色社会主义思想为指导，全面贯彻落实党的二十大精神，严格遵守党的宣传纪律和工作要求，始终坚持正确的政治方向、舆论导向、价值取向；</w:t>
            </w:r>
          </w:p>
          <w:p>
            <w:pPr>
              <w:widowControl w:val="0"/>
              <w:spacing w:before="149" w:line="292" w:lineRule="auto"/>
              <w:jc w:val="both"/>
              <w:rPr>
                <w:rFonts w:hint="eastAsia" w:ascii="宋体" w:hAnsi="宋体" w:eastAsia="宋体" w:cs="宋体"/>
                <w:spacing w:val="15"/>
                <w:sz w:val="21"/>
                <w:szCs w:val="21"/>
              </w:rPr>
            </w:pPr>
            <w:r>
              <w:rPr>
                <w:rFonts w:hint="eastAsia" w:ascii="宋体" w:hAnsi="宋体" w:eastAsia="宋体" w:cs="宋体"/>
                <w:spacing w:val="6"/>
                <w:sz w:val="21"/>
                <w:szCs w:val="21"/>
              </w:rPr>
              <w:t>2.驻地方机构是否围绕迎接宣传贯彻党的二十大，结合地方实际，发挥扎根基层、影响广泛的自身优势，深</w:t>
            </w:r>
            <w:r>
              <w:rPr>
                <w:rFonts w:hint="eastAsia" w:ascii="宋体" w:hAnsi="宋体" w:eastAsia="宋体" w:cs="宋体"/>
                <w:spacing w:val="5"/>
                <w:sz w:val="21"/>
                <w:szCs w:val="21"/>
              </w:rPr>
              <w:t>入开展主题宣传报道，服务党和国家工</w:t>
            </w:r>
            <w:r>
              <w:rPr>
                <w:rFonts w:hint="eastAsia" w:ascii="宋体" w:hAnsi="宋体" w:eastAsia="宋体" w:cs="宋体"/>
                <w:spacing w:val="15"/>
                <w:sz w:val="21"/>
                <w:szCs w:val="21"/>
              </w:rPr>
              <w:t>作大局、服务地方经济社会发展；</w:t>
            </w:r>
          </w:p>
          <w:p>
            <w:pPr>
              <w:widowControl w:val="0"/>
              <w:spacing w:before="203" w:line="292" w:lineRule="auto"/>
              <w:jc w:val="both"/>
              <w:rPr>
                <w:rFonts w:hint="eastAsia" w:ascii="仿宋" w:hAnsi="仿宋" w:eastAsia="仿宋" w:cs="仿宋"/>
                <w:spacing w:val="-6"/>
                <w:sz w:val="28"/>
                <w:szCs w:val="28"/>
                <w:vertAlign w:val="baseline"/>
              </w:rPr>
            </w:pPr>
            <w:r>
              <w:rPr>
                <w:rFonts w:hint="eastAsia" w:ascii="宋体" w:hAnsi="宋体" w:eastAsia="宋体" w:cs="宋体"/>
                <w:spacing w:val="16"/>
                <w:sz w:val="21"/>
                <w:szCs w:val="21"/>
              </w:rPr>
              <w:t>3.驻地方机构是否牢牢坚持正面宣传为主，弘扬</w:t>
            </w:r>
            <w:r>
              <w:rPr>
                <w:rFonts w:hint="eastAsia" w:ascii="宋体" w:hAnsi="宋体" w:eastAsia="宋体" w:cs="宋体"/>
                <w:spacing w:val="6"/>
                <w:sz w:val="21"/>
                <w:szCs w:val="21"/>
              </w:rPr>
              <w:t>主旋律，传播正能量，巩固壮大奋进新时代的主流</w:t>
            </w:r>
            <w:r>
              <w:rPr>
                <w:rFonts w:hint="eastAsia" w:ascii="宋体" w:hAnsi="宋体" w:eastAsia="宋体" w:cs="宋体"/>
                <w:spacing w:val="30"/>
                <w:sz w:val="21"/>
                <w:szCs w:val="21"/>
              </w:rPr>
              <w:t>思想舆论。</w:t>
            </w:r>
          </w:p>
        </w:tc>
        <w:tc>
          <w:tcPr>
            <w:tcW w:w="1733"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p>
        </w:tc>
        <w:tc>
          <w:tcPr>
            <w:tcW w:w="1234"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p>
        </w:tc>
        <w:tc>
          <w:tcPr>
            <w:tcW w:w="1750"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p>
        </w:tc>
        <w:tc>
          <w:tcPr>
            <w:tcW w:w="1283"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p>
        </w:tc>
        <w:tc>
          <w:tcPr>
            <w:tcW w:w="1717"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p>
        </w:tc>
        <w:tc>
          <w:tcPr>
            <w:tcW w:w="1266"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00"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仿宋" w:hAnsi="仿宋" w:eastAsia="仿宋" w:cs="仿宋"/>
                <w:spacing w:val="-6"/>
                <w:sz w:val="28"/>
                <w:szCs w:val="28"/>
                <w:vertAlign w:val="baseline"/>
              </w:rPr>
            </w:pPr>
            <w:r>
              <w:rPr>
                <w:rFonts w:ascii="宋体" w:hAnsi="宋体" w:eastAsia="宋体" w:cs="宋体"/>
                <w:b/>
                <w:bCs/>
                <w:spacing w:val="-4"/>
                <w:sz w:val="22"/>
                <w:szCs w:val="22"/>
              </w:rPr>
              <w:t>评估指标</w:t>
            </w:r>
          </w:p>
        </w:tc>
        <w:tc>
          <w:tcPr>
            <w:tcW w:w="2967"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仿宋" w:hAnsi="仿宋" w:eastAsia="仿宋" w:cs="仿宋"/>
                <w:spacing w:val="-6"/>
                <w:sz w:val="28"/>
                <w:szCs w:val="28"/>
                <w:vertAlign w:val="baseline"/>
              </w:rPr>
            </w:pPr>
            <w:r>
              <w:rPr>
                <w:rFonts w:ascii="宋体" w:hAnsi="宋体" w:eastAsia="宋体" w:cs="宋体"/>
                <w:b/>
                <w:bCs/>
                <w:spacing w:val="-4"/>
                <w:sz w:val="22"/>
                <w:szCs w:val="22"/>
              </w:rPr>
              <w:t>驻地方机构自评</w:t>
            </w:r>
          </w:p>
        </w:tc>
        <w:tc>
          <w:tcPr>
            <w:tcW w:w="3033"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仿宋" w:hAnsi="仿宋" w:eastAsia="仿宋" w:cs="仿宋"/>
                <w:spacing w:val="-6"/>
                <w:sz w:val="28"/>
                <w:szCs w:val="28"/>
                <w:vertAlign w:val="baseline"/>
              </w:rPr>
            </w:pPr>
            <w:r>
              <w:rPr>
                <w:rFonts w:ascii="宋体" w:hAnsi="宋体" w:eastAsia="宋体" w:cs="宋体"/>
                <w:b/>
                <w:bCs/>
                <w:spacing w:val="-4"/>
                <w:sz w:val="22"/>
                <w:szCs w:val="22"/>
              </w:rPr>
              <w:t>新闻单位评估</w:t>
            </w:r>
          </w:p>
        </w:tc>
        <w:tc>
          <w:tcPr>
            <w:tcW w:w="2983"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仿宋" w:hAnsi="仿宋" w:eastAsia="仿宋" w:cs="仿宋"/>
                <w:spacing w:val="-6"/>
                <w:sz w:val="28"/>
                <w:szCs w:val="28"/>
                <w:vertAlign w:val="baseline"/>
              </w:rPr>
            </w:pPr>
            <w:r>
              <w:rPr>
                <w:rFonts w:ascii="宋体" w:hAnsi="宋体" w:eastAsia="宋体" w:cs="宋体"/>
                <w:b/>
                <w:bCs/>
                <w:spacing w:val="-4"/>
                <w:sz w:val="22"/>
                <w:szCs w:val="22"/>
              </w:rPr>
              <w:t>地市级评估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2" w:type="dxa"/>
            <w:vAlign w:val="center"/>
          </w:tcPr>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仿宋" w:hAnsi="仿宋" w:eastAsia="仿宋" w:cs="仿宋"/>
                <w:spacing w:val="-6"/>
                <w:sz w:val="28"/>
                <w:szCs w:val="28"/>
                <w:vertAlign w:val="baseline"/>
              </w:rPr>
            </w:pPr>
            <w:r>
              <w:rPr>
                <w:rFonts w:ascii="宋体" w:hAnsi="宋体" w:eastAsia="宋体" w:cs="宋体"/>
                <w:b/>
                <w:bCs/>
                <w:spacing w:val="15"/>
                <w:sz w:val="22"/>
                <w:szCs w:val="22"/>
              </w:rPr>
              <w:t>项目</w:t>
            </w:r>
          </w:p>
        </w:tc>
        <w:tc>
          <w:tcPr>
            <w:tcW w:w="5108" w:type="dxa"/>
            <w:vAlign w:val="center"/>
          </w:tcPr>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仿宋" w:hAnsi="仿宋" w:eastAsia="仿宋" w:cs="仿宋"/>
                <w:spacing w:val="-6"/>
                <w:sz w:val="28"/>
                <w:szCs w:val="28"/>
                <w:vertAlign w:val="baseline"/>
              </w:rPr>
            </w:pPr>
            <w:r>
              <w:rPr>
                <w:rFonts w:ascii="宋体" w:hAnsi="宋体" w:eastAsia="宋体" w:cs="宋体"/>
                <w:b/>
                <w:bCs/>
                <w:spacing w:val="41"/>
                <w:sz w:val="22"/>
                <w:szCs w:val="22"/>
              </w:rPr>
              <w:t>评估内容</w:t>
            </w:r>
          </w:p>
        </w:tc>
        <w:tc>
          <w:tcPr>
            <w:tcW w:w="1733" w:type="dxa"/>
            <w:vAlign w:val="top"/>
          </w:tcPr>
          <w:p>
            <w:pPr>
              <w:widowControl w:val="0"/>
              <w:spacing w:before="67" w:line="219" w:lineRule="auto"/>
              <w:ind w:left="547"/>
              <w:jc w:val="both"/>
              <w:rPr>
                <w:rFonts w:ascii="宋体" w:hAnsi="宋体" w:eastAsia="宋体" w:cs="宋体"/>
                <w:sz w:val="22"/>
                <w:szCs w:val="22"/>
              </w:rPr>
            </w:pPr>
            <w:r>
              <w:rPr>
                <w:rFonts w:ascii="宋体" w:hAnsi="宋体" w:eastAsia="宋体" w:cs="宋体"/>
                <w:b/>
                <w:bCs/>
                <w:spacing w:val="-5"/>
                <w:sz w:val="22"/>
                <w:szCs w:val="22"/>
              </w:rPr>
              <w:t>等级</w:t>
            </w:r>
          </w:p>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r>
              <w:rPr>
                <w:rFonts w:ascii="宋体" w:hAnsi="宋体" w:eastAsia="宋体" w:cs="宋体"/>
                <w:spacing w:val="16"/>
                <w:sz w:val="21"/>
                <w:szCs w:val="21"/>
              </w:rPr>
              <w:t>(优秀、良好、</w:t>
            </w:r>
            <w:r>
              <w:rPr>
                <w:rFonts w:ascii="宋体" w:hAnsi="宋体" w:eastAsia="宋体" w:cs="宋体"/>
                <w:spacing w:val="8"/>
                <w:sz w:val="21"/>
                <w:szCs w:val="21"/>
              </w:rPr>
              <w:t>合格、不合格)</w:t>
            </w:r>
          </w:p>
        </w:tc>
        <w:tc>
          <w:tcPr>
            <w:tcW w:w="1234"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仿宋" w:hAnsi="仿宋" w:eastAsia="仿宋" w:cs="仿宋"/>
                <w:spacing w:val="-6"/>
                <w:sz w:val="28"/>
                <w:szCs w:val="28"/>
                <w:vertAlign w:val="baseline"/>
              </w:rPr>
            </w:pPr>
            <w:r>
              <w:rPr>
                <w:rFonts w:ascii="宋体" w:hAnsi="宋体" w:eastAsia="宋体" w:cs="宋体"/>
                <w:b/>
                <w:bCs/>
                <w:spacing w:val="-5"/>
                <w:sz w:val="22"/>
                <w:szCs w:val="22"/>
              </w:rPr>
              <w:t>原因简述</w:t>
            </w:r>
          </w:p>
        </w:tc>
        <w:tc>
          <w:tcPr>
            <w:tcW w:w="1750" w:type="dxa"/>
            <w:vAlign w:val="top"/>
          </w:tcPr>
          <w:p>
            <w:pPr>
              <w:widowControl w:val="0"/>
              <w:spacing w:before="67" w:line="219" w:lineRule="auto"/>
              <w:ind w:left="547"/>
              <w:jc w:val="both"/>
              <w:rPr>
                <w:rFonts w:ascii="宋体" w:hAnsi="宋体" w:eastAsia="宋体" w:cs="宋体"/>
                <w:sz w:val="22"/>
                <w:szCs w:val="22"/>
              </w:rPr>
            </w:pPr>
            <w:r>
              <w:rPr>
                <w:rFonts w:ascii="宋体" w:hAnsi="宋体" w:eastAsia="宋体" w:cs="宋体"/>
                <w:b/>
                <w:bCs/>
                <w:spacing w:val="-5"/>
                <w:sz w:val="22"/>
                <w:szCs w:val="22"/>
              </w:rPr>
              <w:t>等级</w:t>
            </w:r>
          </w:p>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r>
              <w:rPr>
                <w:rFonts w:ascii="宋体" w:hAnsi="宋体" w:eastAsia="宋体" w:cs="宋体"/>
                <w:spacing w:val="16"/>
                <w:sz w:val="21"/>
                <w:szCs w:val="21"/>
              </w:rPr>
              <w:t>(优秀、良好、</w:t>
            </w:r>
            <w:r>
              <w:rPr>
                <w:rFonts w:ascii="宋体" w:hAnsi="宋体" w:eastAsia="宋体" w:cs="宋体"/>
                <w:spacing w:val="8"/>
                <w:sz w:val="21"/>
                <w:szCs w:val="21"/>
              </w:rPr>
              <w:t>合格、不合格)</w:t>
            </w:r>
          </w:p>
        </w:tc>
        <w:tc>
          <w:tcPr>
            <w:tcW w:w="1283"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仿宋" w:hAnsi="仿宋" w:eastAsia="仿宋" w:cs="仿宋"/>
                <w:spacing w:val="-6"/>
                <w:sz w:val="28"/>
                <w:szCs w:val="28"/>
                <w:vertAlign w:val="baseline"/>
              </w:rPr>
            </w:pPr>
            <w:r>
              <w:rPr>
                <w:rFonts w:ascii="宋体" w:hAnsi="宋体" w:eastAsia="宋体" w:cs="宋体"/>
                <w:b/>
                <w:bCs/>
                <w:spacing w:val="-5"/>
                <w:sz w:val="22"/>
                <w:szCs w:val="22"/>
              </w:rPr>
              <w:t>原因简述</w:t>
            </w:r>
          </w:p>
        </w:tc>
        <w:tc>
          <w:tcPr>
            <w:tcW w:w="1717" w:type="dxa"/>
            <w:vAlign w:val="top"/>
          </w:tcPr>
          <w:p>
            <w:pPr>
              <w:widowControl w:val="0"/>
              <w:spacing w:before="67" w:line="219" w:lineRule="auto"/>
              <w:ind w:left="547"/>
              <w:jc w:val="both"/>
              <w:rPr>
                <w:rFonts w:ascii="宋体" w:hAnsi="宋体" w:eastAsia="宋体" w:cs="宋体"/>
                <w:sz w:val="22"/>
                <w:szCs w:val="22"/>
              </w:rPr>
            </w:pPr>
            <w:r>
              <w:rPr>
                <w:rFonts w:ascii="宋体" w:hAnsi="宋体" w:eastAsia="宋体" w:cs="宋体"/>
                <w:b/>
                <w:bCs/>
                <w:spacing w:val="-5"/>
                <w:sz w:val="22"/>
                <w:szCs w:val="22"/>
              </w:rPr>
              <w:t>等级</w:t>
            </w:r>
          </w:p>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r>
              <w:rPr>
                <w:rFonts w:ascii="宋体" w:hAnsi="宋体" w:eastAsia="宋体" w:cs="宋体"/>
                <w:spacing w:val="16"/>
                <w:sz w:val="21"/>
                <w:szCs w:val="21"/>
              </w:rPr>
              <w:t>(优秀、良好、</w:t>
            </w:r>
            <w:r>
              <w:rPr>
                <w:rFonts w:ascii="宋体" w:hAnsi="宋体" w:eastAsia="宋体" w:cs="宋体"/>
                <w:spacing w:val="8"/>
                <w:sz w:val="21"/>
                <w:szCs w:val="21"/>
              </w:rPr>
              <w:t>合格、不合格)</w:t>
            </w:r>
          </w:p>
        </w:tc>
        <w:tc>
          <w:tcPr>
            <w:tcW w:w="1266"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仿宋" w:hAnsi="仿宋" w:eastAsia="仿宋" w:cs="仿宋"/>
                <w:spacing w:val="-6"/>
                <w:sz w:val="28"/>
                <w:szCs w:val="28"/>
                <w:vertAlign w:val="baseline"/>
              </w:rPr>
            </w:pPr>
            <w:r>
              <w:rPr>
                <w:rFonts w:ascii="宋体" w:hAnsi="宋体" w:eastAsia="宋体" w:cs="宋体"/>
                <w:b/>
                <w:bCs/>
                <w:spacing w:val="-5"/>
                <w:sz w:val="22"/>
                <w:szCs w:val="22"/>
              </w:rPr>
              <w:t>原因简述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2" w:type="dxa"/>
            <w:vAlign w:val="center"/>
          </w:tcPr>
          <w:p>
            <w:pPr>
              <w:widowControl w:val="0"/>
              <w:spacing w:before="72" w:line="421" w:lineRule="exact"/>
              <w:ind w:left="84"/>
              <w:rPr>
                <w:rFonts w:ascii="宋体" w:hAnsi="宋体" w:eastAsia="宋体" w:cs="宋体"/>
                <w:sz w:val="22"/>
                <w:szCs w:val="22"/>
              </w:rPr>
            </w:pPr>
            <w:r>
              <w:rPr>
                <w:rFonts w:ascii="宋体" w:hAnsi="宋体" w:eastAsia="宋体" w:cs="宋体"/>
                <w:spacing w:val="-2"/>
                <w:position w:val="15"/>
                <w:sz w:val="22"/>
                <w:szCs w:val="22"/>
              </w:rPr>
              <w:t>集中整</w:t>
            </w:r>
          </w:p>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仿宋" w:hAnsi="仿宋" w:eastAsia="仿宋" w:cs="仿宋"/>
                <w:spacing w:val="-6"/>
                <w:sz w:val="28"/>
                <w:szCs w:val="28"/>
                <w:vertAlign w:val="baseline"/>
              </w:rPr>
            </w:pPr>
            <w:r>
              <w:rPr>
                <w:rFonts w:ascii="宋体" w:hAnsi="宋体" w:eastAsia="宋体" w:cs="宋体"/>
                <w:spacing w:val="3"/>
                <w:sz w:val="22"/>
                <w:szCs w:val="22"/>
              </w:rPr>
              <w:t>治情况</w:t>
            </w:r>
          </w:p>
        </w:tc>
        <w:tc>
          <w:tcPr>
            <w:tcW w:w="5108" w:type="dxa"/>
            <w:vAlign w:val="top"/>
          </w:tcPr>
          <w:p>
            <w:pPr>
              <w:widowControl w:val="0"/>
              <w:spacing w:before="149" w:line="292" w:lineRule="auto"/>
              <w:jc w:val="both"/>
              <w:rPr>
                <w:rFonts w:ascii="宋体" w:hAnsi="宋体" w:eastAsia="宋体" w:cs="宋体"/>
                <w:spacing w:val="16"/>
                <w:sz w:val="20"/>
                <w:szCs w:val="20"/>
              </w:rPr>
            </w:pPr>
            <w:r>
              <w:rPr>
                <w:rFonts w:ascii="宋体" w:hAnsi="宋体" w:eastAsia="宋体" w:cs="宋体"/>
                <w:spacing w:val="16"/>
                <w:sz w:val="20"/>
                <w:szCs w:val="20"/>
              </w:rPr>
              <w:t>1.新闻单位驻地方机构是否落实2023年打击新闻敲诈和假新闻专项行动方案要求，对参与广告经营等活动进行集中整治，对集中整治查摆出来的问题进行严肃认真整改；</w:t>
            </w:r>
          </w:p>
          <w:p>
            <w:pPr>
              <w:widowControl w:val="0"/>
              <w:spacing w:before="149" w:line="292" w:lineRule="auto"/>
              <w:jc w:val="both"/>
              <w:rPr>
                <w:rFonts w:ascii="宋体" w:hAnsi="宋体" w:eastAsia="宋体" w:cs="宋体"/>
                <w:spacing w:val="16"/>
                <w:sz w:val="20"/>
                <w:szCs w:val="20"/>
              </w:rPr>
            </w:pPr>
            <w:r>
              <w:rPr>
                <w:rFonts w:ascii="宋体" w:hAnsi="宋体" w:eastAsia="宋体" w:cs="宋体"/>
                <w:spacing w:val="16"/>
                <w:sz w:val="20"/>
                <w:szCs w:val="20"/>
              </w:rPr>
              <w:t>2.驻地方机构人员是否存在兼职取酬、创办或参股经营实体、配偶开办广告文化类公司等情况；</w:t>
            </w:r>
          </w:p>
          <w:p>
            <w:pPr>
              <w:widowControl w:val="0"/>
              <w:spacing w:before="149" w:line="292" w:lineRule="auto"/>
              <w:jc w:val="both"/>
              <w:rPr>
                <w:rFonts w:hint="eastAsia" w:ascii="仿宋" w:hAnsi="仿宋" w:eastAsia="仿宋" w:cs="仿宋"/>
                <w:spacing w:val="-6"/>
                <w:sz w:val="28"/>
                <w:szCs w:val="28"/>
                <w:vertAlign w:val="baseline"/>
              </w:rPr>
            </w:pPr>
            <w:r>
              <w:rPr>
                <w:rFonts w:ascii="宋体" w:hAnsi="宋体" w:eastAsia="宋体" w:cs="宋体"/>
                <w:spacing w:val="16"/>
                <w:sz w:val="20"/>
                <w:szCs w:val="20"/>
              </w:rPr>
              <w:t>3.驻地方机构及其人员是否存在利用职务影响和职务便利进行新闻敲诈、有偿新闻、有偿不闻以及其他违法违规问题。</w:t>
            </w:r>
          </w:p>
        </w:tc>
        <w:tc>
          <w:tcPr>
            <w:tcW w:w="1733"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p>
        </w:tc>
        <w:tc>
          <w:tcPr>
            <w:tcW w:w="1234"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p>
        </w:tc>
        <w:tc>
          <w:tcPr>
            <w:tcW w:w="1750"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p>
        </w:tc>
        <w:tc>
          <w:tcPr>
            <w:tcW w:w="1283"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p>
        </w:tc>
        <w:tc>
          <w:tcPr>
            <w:tcW w:w="1717"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p>
        </w:tc>
        <w:tc>
          <w:tcPr>
            <w:tcW w:w="1266"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2" w:type="dxa"/>
            <w:vAlign w:val="center"/>
          </w:tcPr>
          <w:p>
            <w:pPr>
              <w:widowControl w:val="0"/>
              <w:spacing w:before="72" w:line="410" w:lineRule="exact"/>
              <w:ind w:left="84"/>
              <w:rPr>
                <w:rFonts w:ascii="宋体" w:hAnsi="宋体" w:eastAsia="宋体" w:cs="宋体"/>
                <w:sz w:val="22"/>
                <w:szCs w:val="22"/>
              </w:rPr>
            </w:pPr>
            <w:r>
              <w:rPr>
                <w:rFonts w:ascii="宋体" w:hAnsi="宋体" w:eastAsia="宋体" w:cs="宋体"/>
                <w:spacing w:val="-3"/>
                <w:position w:val="14"/>
                <w:sz w:val="22"/>
                <w:szCs w:val="22"/>
              </w:rPr>
              <w:t>新闻采</w:t>
            </w:r>
          </w:p>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ascii="宋体" w:hAnsi="宋体" w:eastAsia="宋体" w:cs="宋体"/>
                <w:spacing w:val="3"/>
                <w:sz w:val="22"/>
                <w:szCs w:val="22"/>
              </w:rPr>
            </w:pPr>
            <w:r>
              <w:rPr>
                <w:rFonts w:ascii="宋体" w:hAnsi="宋体" w:eastAsia="宋体" w:cs="宋体"/>
                <w:spacing w:val="-3"/>
                <w:sz w:val="22"/>
                <w:szCs w:val="22"/>
              </w:rPr>
              <w:t>编情况</w:t>
            </w:r>
          </w:p>
        </w:tc>
        <w:tc>
          <w:tcPr>
            <w:tcW w:w="5108" w:type="dxa"/>
            <w:vAlign w:val="top"/>
          </w:tcPr>
          <w:p>
            <w:pPr>
              <w:widowControl w:val="0"/>
              <w:spacing w:before="149" w:line="292" w:lineRule="auto"/>
              <w:jc w:val="both"/>
              <w:rPr>
                <w:rFonts w:ascii="宋体" w:hAnsi="宋体" w:eastAsia="宋体" w:cs="宋体"/>
                <w:spacing w:val="16"/>
                <w:sz w:val="20"/>
                <w:szCs w:val="20"/>
              </w:rPr>
            </w:pPr>
            <w:r>
              <w:rPr>
                <w:rFonts w:ascii="宋体" w:hAnsi="宋体" w:eastAsia="宋体" w:cs="宋体"/>
                <w:spacing w:val="16"/>
                <w:sz w:val="20"/>
                <w:szCs w:val="20"/>
              </w:rPr>
              <w:t>1.新闻单位驻地方机构是否实行新闻线索集中管理和统一安排采访；</w:t>
            </w:r>
          </w:p>
          <w:p>
            <w:pPr>
              <w:widowControl w:val="0"/>
              <w:spacing w:before="149" w:line="292" w:lineRule="auto"/>
              <w:jc w:val="both"/>
              <w:rPr>
                <w:rFonts w:ascii="宋体" w:hAnsi="宋体" w:eastAsia="宋体" w:cs="宋体"/>
                <w:spacing w:val="16"/>
                <w:sz w:val="20"/>
                <w:szCs w:val="20"/>
              </w:rPr>
            </w:pPr>
            <w:r>
              <w:rPr>
                <w:rFonts w:ascii="宋体" w:hAnsi="宋体" w:eastAsia="宋体" w:cs="宋体"/>
                <w:spacing w:val="16"/>
                <w:sz w:val="20"/>
                <w:szCs w:val="20"/>
              </w:rPr>
              <w:t>2.驻地方机构是否从事与新闻单位业务范围相一致的新闻采编活动；</w:t>
            </w:r>
          </w:p>
          <w:p>
            <w:pPr>
              <w:widowControl w:val="0"/>
              <w:spacing w:before="149" w:line="292" w:lineRule="auto"/>
              <w:jc w:val="both"/>
              <w:rPr>
                <w:rFonts w:ascii="宋体" w:hAnsi="宋体" w:eastAsia="宋体" w:cs="宋体"/>
                <w:spacing w:val="16"/>
                <w:sz w:val="20"/>
                <w:szCs w:val="20"/>
              </w:rPr>
            </w:pPr>
            <w:r>
              <w:rPr>
                <w:rFonts w:ascii="宋体" w:hAnsi="宋体" w:eastAsia="宋体" w:cs="宋体"/>
                <w:spacing w:val="16"/>
                <w:sz w:val="20"/>
                <w:szCs w:val="20"/>
              </w:rPr>
              <w:t>3.驻地方机构是否建立健全新闻采编工作记录、自查评估等规章制度；</w:t>
            </w:r>
          </w:p>
          <w:p>
            <w:pPr>
              <w:widowControl w:val="0"/>
              <w:spacing w:before="149" w:line="292" w:lineRule="auto"/>
              <w:jc w:val="both"/>
              <w:rPr>
                <w:rFonts w:ascii="宋体" w:hAnsi="宋体" w:eastAsia="宋体" w:cs="宋体"/>
                <w:spacing w:val="16"/>
                <w:sz w:val="21"/>
                <w:szCs w:val="21"/>
              </w:rPr>
            </w:pPr>
            <w:r>
              <w:rPr>
                <w:rFonts w:ascii="宋体" w:hAnsi="宋体" w:eastAsia="宋体" w:cs="宋体"/>
                <w:spacing w:val="16"/>
                <w:sz w:val="20"/>
                <w:szCs w:val="20"/>
              </w:rPr>
              <w:t>4.驻地方机构是否在新闻单位所办媒体年刊播新闻报道达到30篇。</w:t>
            </w:r>
          </w:p>
        </w:tc>
        <w:tc>
          <w:tcPr>
            <w:tcW w:w="1733"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p>
        </w:tc>
        <w:tc>
          <w:tcPr>
            <w:tcW w:w="1234"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p>
        </w:tc>
        <w:tc>
          <w:tcPr>
            <w:tcW w:w="1750"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p>
        </w:tc>
        <w:tc>
          <w:tcPr>
            <w:tcW w:w="1283"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p>
        </w:tc>
        <w:tc>
          <w:tcPr>
            <w:tcW w:w="1717"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p>
        </w:tc>
        <w:tc>
          <w:tcPr>
            <w:tcW w:w="1266"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00"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仿宋" w:hAnsi="仿宋" w:eastAsia="仿宋" w:cs="仿宋"/>
                <w:spacing w:val="-6"/>
                <w:sz w:val="28"/>
                <w:szCs w:val="28"/>
                <w:vertAlign w:val="baseline"/>
              </w:rPr>
            </w:pPr>
            <w:r>
              <w:rPr>
                <w:rFonts w:ascii="宋体" w:hAnsi="宋体" w:eastAsia="宋体" w:cs="宋体"/>
                <w:b/>
                <w:bCs/>
                <w:spacing w:val="-4"/>
                <w:sz w:val="22"/>
                <w:szCs w:val="22"/>
              </w:rPr>
              <w:t>评估指标</w:t>
            </w:r>
          </w:p>
        </w:tc>
        <w:tc>
          <w:tcPr>
            <w:tcW w:w="2967"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仿宋" w:hAnsi="仿宋" w:eastAsia="仿宋" w:cs="仿宋"/>
                <w:spacing w:val="-6"/>
                <w:sz w:val="28"/>
                <w:szCs w:val="28"/>
                <w:vertAlign w:val="baseline"/>
              </w:rPr>
            </w:pPr>
            <w:r>
              <w:rPr>
                <w:rFonts w:ascii="宋体" w:hAnsi="宋体" w:eastAsia="宋体" w:cs="宋体"/>
                <w:b/>
                <w:bCs/>
                <w:spacing w:val="-4"/>
                <w:sz w:val="22"/>
                <w:szCs w:val="22"/>
              </w:rPr>
              <w:t>驻地方机构自评</w:t>
            </w:r>
          </w:p>
        </w:tc>
        <w:tc>
          <w:tcPr>
            <w:tcW w:w="3033"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仿宋" w:hAnsi="仿宋" w:eastAsia="仿宋" w:cs="仿宋"/>
                <w:spacing w:val="-6"/>
                <w:sz w:val="28"/>
                <w:szCs w:val="28"/>
                <w:vertAlign w:val="baseline"/>
              </w:rPr>
            </w:pPr>
            <w:r>
              <w:rPr>
                <w:rFonts w:ascii="宋体" w:hAnsi="宋体" w:eastAsia="宋体" w:cs="宋体"/>
                <w:b/>
                <w:bCs/>
                <w:spacing w:val="-4"/>
                <w:sz w:val="22"/>
                <w:szCs w:val="22"/>
              </w:rPr>
              <w:t>新闻单位评估</w:t>
            </w:r>
          </w:p>
        </w:tc>
        <w:tc>
          <w:tcPr>
            <w:tcW w:w="2983"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仿宋" w:hAnsi="仿宋" w:eastAsia="仿宋" w:cs="仿宋"/>
                <w:spacing w:val="-6"/>
                <w:sz w:val="28"/>
                <w:szCs w:val="28"/>
                <w:vertAlign w:val="baseline"/>
              </w:rPr>
            </w:pPr>
            <w:r>
              <w:rPr>
                <w:rFonts w:ascii="宋体" w:hAnsi="宋体" w:eastAsia="宋体" w:cs="宋体"/>
                <w:b/>
                <w:bCs/>
                <w:spacing w:val="-4"/>
                <w:sz w:val="22"/>
                <w:szCs w:val="22"/>
              </w:rPr>
              <w:t>地市级评估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2" w:type="dxa"/>
            <w:vAlign w:val="center"/>
          </w:tcPr>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仿宋" w:hAnsi="仿宋" w:eastAsia="仿宋" w:cs="仿宋"/>
                <w:spacing w:val="-6"/>
                <w:sz w:val="28"/>
                <w:szCs w:val="28"/>
                <w:vertAlign w:val="baseline"/>
              </w:rPr>
            </w:pPr>
            <w:r>
              <w:rPr>
                <w:rFonts w:ascii="宋体" w:hAnsi="宋体" w:eastAsia="宋体" w:cs="宋体"/>
                <w:b/>
                <w:bCs/>
                <w:spacing w:val="15"/>
                <w:sz w:val="22"/>
                <w:szCs w:val="22"/>
              </w:rPr>
              <w:t>项目</w:t>
            </w:r>
          </w:p>
        </w:tc>
        <w:tc>
          <w:tcPr>
            <w:tcW w:w="5108" w:type="dxa"/>
            <w:vAlign w:val="center"/>
          </w:tcPr>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仿宋" w:hAnsi="仿宋" w:eastAsia="仿宋" w:cs="仿宋"/>
                <w:spacing w:val="-6"/>
                <w:sz w:val="28"/>
                <w:szCs w:val="28"/>
                <w:vertAlign w:val="baseline"/>
              </w:rPr>
            </w:pPr>
            <w:r>
              <w:rPr>
                <w:rFonts w:ascii="宋体" w:hAnsi="宋体" w:eastAsia="宋体" w:cs="宋体"/>
                <w:b/>
                <w:bCs/>
                <w:spacing w:val="41"/>
                <w:sz w:val="22"/>
                <w:szCs w:val="22"/>
              </w:rPr>
              <w:t>评估内容</w:t>
            </w:r>
          </w:p>
        </w:tc>
        <w:tc>
          <w:tcPr>
            <w:tcW w:w="1733" w:type="dxa"/>
            <w:vAlign w:val="top"/>
          </w:tcPr>
          <w:p>
            <w:pPr>
              <w:widowControl w:val="0"/>
              <w:spacing w:before="67" w:line="219" w:lineRule="auto"/>
              <w:ind w:left="547"/>
              <w:jc w:val="both"/>
              <w:rPr>
                <w:rFonts w:ascii="宋体" w:hAnsi="宋体" w:eastAsia="宋体" w:cs="宋体"/>
                <w:sz w:val="22"/>
                <w:szCs w:val="22"/>
              </w:rPr>
            </w:pPr>
            <w:r>
              <w:rPr>
                <w:rFonts w:ascii="宋体" w:hAnsi="宋体" w:eastAsia="宋体" w:cs="宋体"/>
                <w:b/>
                <w:bCs/>
                <w:spacing w:val="-5"/>
                <w:sz w:val="22"/>
                <w:szCs w:val="22"/>
              </w:rPr>
              <w:t>等级</w:t>
            </w:r>
          </w:p>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r>
              <w:rPr>
                <w:rFonts w:ascii="宋体" w:hAnsi="宋体" w:eastAsia="宋体" w:cs="宋体"/>
                <w:spacing w:val="16"/>
                <w:sz w:val="21"/>
                <w:szCs w:val="21"/>
              </w:rPr>
              <w:t>(优秀、良好、</w:t>
            </w:r>
            <w:r>
              <w:rPr>
                <w:rFonts w:ascii="宋体" w:hAnsi="宋体" w:eastAsia="宋体" w:cs="宋体"/>
                <w:spacing w:val="8"/>
                <w:sz w:val="21"/>
                <w:szCs w:val="21"/>
              </w:rPr>
              <w:t>合格、不合格)</w:t>
            </w:r>
          </w:p>
        </w:tc>
        <w:tc>
          <w:tcPr>
            <w:tcW w:w="1234"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仿宋" w:hAnsi="仿宋" w:eastAsia="仿宋" w:cs="仿宋"/>
                <w:spacing w:val="-6"/>
                <w:sz w:val="28"/>
                <w:szCs w:val="28"/>
                <w:vertAlign w:val="baseline"/>
              </w:rPr>
            </w:pPr>
            <w:r>
              <w:rPr>
                <w:rFonts w:ascii="宋体" w:hAnsi="宋体" w:eastAsia="宋体" w:cs="宋体"/>
                <w:b/>
                <w:bCs/>
                <w:spacing w:val="-5"/>
                <w:sz w:val="22"/>
                <w:szCs w:val="22"/>
              </w:rPr>
              <w:t>原因简述</w:t>
            </w:r>
          </w:p>
        </w:tc>
        <w:tc>
          <w:tcPr>
            <w:tcW w:w="1750" w:type="dxa"/>
            <w:vAlign w:val="top"/>
          </w:tcPr>
          <w:p>
            <w:pPr>
              <w:widowControl w:val="0"/>
              <w:spacing w:before="67" w:line="219" w:lineRule="auto"/>
              <w:ind w:left="547"/>
              <w:jc w:val="both"/>
              <w:rPr>
                <w:rFonts w:ascii="宋体" w:hAnsi="宋体" w:eastAsia="宋体" w:cs="宋体"/>
                <w:sz w:val="22"/>
                <w:szCs w:val="22"/>
              </w:rPr>
            </w:pPr>
            <w:r>
              <w:rPr>
                <w:rFonts w:ascii="宋体" w:hAnsi="宋体" w:eastAsia="宋体" w:cs="宋体"/>
                <w:b/>
                <w:bCs/>
                <w:spacing w:val="-5"/>
                <w:sz w:val="22"/>
                <w:szCs w:val="22"/>
              </w:rPr>
              <w:t>等级</w:t>
            </w:r>
          </w:p>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r>
              <w:rPr>
                <w:rFonts w:ascii="宋体" w:hAnsi="宋体" w:eastAsia="宋体" w:cs="宋体"/>
                <w:spacing w:val="16"/>
                <w:sz w:val="21"/>
                <w:szCs w:val="21"/>
              </w:rPr>
              <w:t>(优秀、良好、</w:t>
            </w:r>
            <w:r>
              <w:rPr>
                <w:rFonts w:ascii="宋体" w:hAnsi="宋体" w:eastAsia="宋体" w:cs="宋体"/>
                <w:spacing w:val="8"/>
                <w:sz w:val="21"/>
                <w:szCs w:val="21"/>
              </w:rPr>
              <w:t>合格、不合格)</w:t>
            </w:r>
          </w:p>
        </w:tc>
        <w:tc>
          <w:tcPr>
            <w:tcW w:w="1283"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仿宋" w:hAnsi="仿宋" w:eastAsia="仿宋" w:cs="仿宋"/>
                <w:spacing w:val="-6"/>
                <w:sz w:val="28"/>
                <w:szCs w:val="28"/>
                <w:vertAlign w:val="baseline"/>
              </w:rPr>
            </w:pPr>
            <w:r>
              <w:rPr>
                <w:rFonts w:ascii="宋体" w:hAnsi="宋体" w:eastAsia="宋体" w:cs="宋体"/>
                <w:b/>
                <w:bCs/>
                <w:spacing w:val="-5"/>
                <w:sz w:val="22"/>
                <w:szCs w:val="22"/>
              </w:rPr>
              <w:t>原因简述</w:t>
            </w:r>
          </w:p>
        </w:tc>
        <w:tc>
          <w:tcPr>
            <w:tcW w:w="1717" w:type="dxa"/>
            <w:vAlign w:val="top"/>
          </w:tcPr>
          <w:p>
            <w:pPr>
              <w:widowControl w:val="0"/>
              <w:spacing w:before="67" w:line="219" w:lineRule="auto"/>
              <w:ind w:left="547"/>
              <w:jc w:val="both"/>
              <w:rPr>
                <w:rFonts w:ascii="宋体" w:hAnsi="宋体" w:eastAsia="宋体" w:cs="宋体"/>
                <w:sz w:val="22"/>
                <w:szCs w:val="22"/>
              </w:rPr>
            </w:pPr>
            <w:r>
              <w:rPr>
                <w:rFonts w:ascii="宋体" w:hAnsi="宋体" w:eastAsia="宋体" w:cs="宋体"/>
                <w:b/>
                <w:bCs/>
                <w:spacing w:val="-5"/>
                <w:sz w:val="22"/>
                <w:szCs w:val="22"/>
              </w:rPr>
              <w:t>等级</w:t>
            </w:r>
          </w:p>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r>
              <w:rPr>
                <w:rFonts w:ascii="宋体" w:hAnsi="宋体" w:eastAsia="宋体" w:cs="宋体"/>
                <w:spacing w:val="16"/>
                <w:sz w:val="21"/>
                <w:szCs w:val="21"/>
              </w:rPr>
              <w:t>(优秀、良好、</w:t>
            </w:r>
            <w:r>
              <w:rPr>
                <w:rFonts w:ascii="宋体" w:hAnsi="宋体" w:eastAsia="宋体" w:cs="宋体"/>
                <w:spacing w:val="8"/>
                <w:sz w:val="21"/>
                <w:szCs w:val="21"/>
              </w:rPr>
              <w:t>合格、不合格)</w:t>
            </w:r>
          </w:p>
        </w:tc>
        <w:tc>
          <w:tcPr>
            <w:tcW w:w="1266"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eastAsia" w:ascii="仿宋" w:hAnsi="仿宋" w:eastAsia="仿宋" w:cs="仿宋"/>
                <w:spacing w:val="-6"/>
                <w:sz w:val="28"/>
                <w:szCs w:val="28"/>
                <w:vertAlign w:val="baseline"/>
              </w:rPr>
            </w:pPr>
            <w:r>
              <w:rPr>
                <w:rFonts w:ascii="宋体" w:hAnsi="宋体" w:eastAsia="宋体" w:cs="宋体"/>
                <w:b/>
                <w:bCs/>
                <w:spacing w:val="-5"/>
                <w:sz w:val="22"/>
                <w:szCs w:val="22"/>
              </w:rPr>
              <w:t>原因简述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2" w:type="dxa"/>
            <w:vAlign w:val="center"/>
          </w:tcPr>
          <w:p>
            <w:pPr>
              <w:widowControl w:val="0"/>
              <w:spacing w:before="72" w:line="421" w:lineRule="exact"/>
              <w:ind w:left="84"/>
              <w:rPr>
                <w:rFonts w:ascii="宋体" w:hAnsi="宋体" w:eastAsia="宋体" w:cs="宋体"/>
                <w:spacing w:val="-2"/>
                <w:position w:val="15"/>
                <w:sz w:val="22"/>
                <w:szCs w:val="22"/>
              </w:rPr>
            </w:pPr>
            <w:r>
              <w:rPr>
                <w:rFonts w:ascii="宋体" w:hAnsi="宋体" w:eastAsia="宋体" w:cs="宋体"/>
                <w:spacing w:val="-2"/>
                <w:position w:val="15"/>
                <w:sz w:val="22"/>
                <w:szCs w:val="22"/>
              </w:rPr>
              <w:t>领导管</w:t>
            </w:r>
          </w:p>
          <w:p>
            <w:pPr>
              <w:widowControl w:val="0"/>
              <w:spacing w:before="72" w:line="421" w:lineRule="exact"/>
              <w:ind w:left="84"/>
              <w:rPr>
                <w:rFonts w:hint="eastAsia" w:ascii="仿宋" w:hAnsi="仿宋" w:eastAsia="仿宋" w:cs="仿宋"/>
                <w:spacing w:val="-6"/>
                <w:sz w:val="28"/>
                <w:szCs w:val="28"/>
                <w:vertAlign w:val="baseline"/>
              </w:rPr>
            </w:pPr>
            <w:r>
              <w:rPr>
                <w:rFonts w:ascii="宋体" w:hAnsi="宋体" w:eastAsia="宋体" w:cs="宋体"/>
                <w:spacing w:val="-2"/>
                <w:position w:val="15"/>
                <w:sz w:val="22"/>
                <w:szCs w:val="22"/>
              </w:rPr>
              <w:t>理情况</w:t>
            </w:r>
          </w:p>
        </w:tc>
        <w:tc>
          <w:tcPr>
            <w:tcW w:w="5108" w:type="dxa"/>
            <w:vAlign w:val="top"/>
          </w:tcPr>
          <w:p>
            <w:pPr>
              <w:widowControl w:val="0"/>
              <w:spacing w:before="141" w:line="272" w:lineRule="auto"/>
              <w:jc w:val="both"/>
              <w:rPr>
                <w:rFonts w:ascii="宋体" w:hAnsi="宋体" w:eastAsia="宋体" w:cs="宋体"/>
                <w:sz w:val="22"/>
                <w:szCs w:val="22"/>
              </w:rPr>
            </w:pPr>
            <w:r>
              <w:rPr>
                <w:rFonts w:ascii="宋体" w:hAnsi="宋体" w:eastAsia="宋体" w:cs="宋体"/>
                <w:spacing w:val="3"/>
                <w:sz w:val="22"/>
                <w:szCs w:val="22"/>
              </w:rPr>
              <w:t>1.新闻单位是否定期巡视检查驻地方机构，建立</w:t>
            </w:r>
            <w:r>
              <w:rPr>
                <w:rFonts w:ascii="宋体" w:hAnsi="宋体" w:eastAsia="宋体" w:cs="宋体"/>
                <w:spacing w:val="-2"/>
                <w:sz w:val="22"/>
                <w:szCs w:val="22"/>
              </w:rPr>
              <w:t>健全驻地方机构负责人任期、轮岗、审计、约谈、</w:t>
            </w:r>
            <w:r>
              <w:rPr>
                <w:rFonts w:ascii="宋体" w:hAnsi="宋体" w:eastAsia="宋体" w:cs="宋体"/>
                <w:spacing w:val="9"/>
                <w:sz w:val="22"/>
                <w:szCs w:val="22"/>
              </w:rPr>
              <w:t>问责以及人员管理、培训、检查、公示等制度；</w:t>
            </w:r>
          </w:p>
          <w:p>
            <w:pPr>
              <w:widowControl w:val="0"/>
              <w:spacing w:before="177" w:line="273" w:lineRule="auto"/>
              <w:rPr>
                <w:rFonts w:ascii="宋体" w:hAnsi="宋体" w:eastAsia="宋体" w:cs="宋体"/>
                <w:sz w:val="22"/>
                <w:szCs w:val="22"/>
              </w:rPr>
            </w:pPr>
            <w:r>
              <w:rPr>
                <w:rFonts w:ascii="宋体" w:hAnsi="宋体" w:eastAsia="宋体" w:cs="宋体"/>
                <w:spacing w:val="-1"/>
                <w:sz w:val="22"/>
                <w:szCs w:val="22"/>
              </w:rPr>
              <w:t>2.新闻单位是否存在擅自设立驻地方机构、以运</w:t>
            </w:r>
            <w:r>
              <w:rPr>
                <w:rFonts w:ascii="宋体" w:hAnsi="宋体" w:eastAsia="宋体" w:cs="宋体"/>
                <w:spacing w:val="-2"/>
                <w:sz w:val="22"/>
                <w:szCs w:val="22"/>
              </w:rPr>
              <w:t>营</w:t>
            </w:r>
            <w:r>
              <w:rPr>
                <w:rFonts w:ascii="宋体" w:hAnsi="宋体" w:eastAsia="宋体" w:cs="宋体"/>
                <w:spacing w:val="16"/>
                <w:sz w:val="22"/>
                <w:szCs w:val="22"/>
              </w:rPr>
              <w:t>公司等名义设立驻地方机构等问题；</w:t>
            </w:r>
          </w:p>
          <w:p>
            <w:pPr>
              <w:widowControl w:val="0"/>
              <w:spacing w:before="203" w:line="292" w:lineRule="auto"/>
              <w:jc w:val="both"/>
              <w:rPr>
                <w:rFonts w:hint="eastAsia" w:ascii="仿宋" w:hAnsi="仿宋" w:eastAsia="仿宋" w:cs="仿宋"/>
                <w:spacing w:val="-6"/>
                <w:sz w:val="28"/>
                <w:szCs w:val="28"/>
                <w:vertAlign w:val="baseline"/>
              </w:rPr>
            </w:pPr>
            <w:r>
              <w:rPr>
                <w:rFonts w:ascii="宋体" w:hAnsi="宋体" w:eastAsia="宋体" w:cs="宋体"/>
                <w:spacing w:val="-1"/>
                <w:sz w:val="22"/>
                <w:szCs w:val="22"/>
              </w:rPr>
              <w:t>3.新闻单位是否保障驻地方机构的经费开支和工</w:t>
            </w:r>
            <w:r>
              <w:rPr>
                <w:rFonts w:ascii="宋体" w:hAnsi="宋体" w:eastAsia="宋体" w:cs="宋体"/>
                <w:spacing w:val="-2"/>
                <w:sz w:val="22"/>
                <w:szCs w:val="22"/>
              </w:rPr>
              <w:t>作</w:t>
            </w:r>
            <w:r>
              <w:rPr>
                <w:rFonts w:ascii="宋体" w:hAnsi="宋体" w:eastAsia="宋体" w:cs="宋体"/>
                <w:spacing w:val="31"/>
                <w:sz w:val="22"/>
                <w:szCs w:val="22"/>
              </w:rPr>
              <w:t>人员工资。</w:t>
            </w:r>
          </w:p>
        </w:tc>
        <w:tc>
          <w:tcPr>
            <w:tcW w:w="1733"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p>
        </w:tc>
        <w:tc>
          <w:tcPr>
            <w:tcW w:w="1234"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p>
        </w:tc>
        <w:tc>
          <w:tcPr>
            <w:tcW w:w="1750"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p>
        </w:tc>
        <w:tc>
          <w:tcPr>
            <w:tcW w:w="1283"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p>
        </w:tc>
        <w:tc>
          <w:tcPr>
            <w:tcW w:w="1717"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p>
        </w:tc>
        <w:tc>
          <w:tcPr>
            <w:tcW w:w="1266"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2" w:type="dxa"/>
            <w:vAlign w:val="center"/>
          </w:tcPr>
          <w:p>
            <w:pPr>
              <w:widowControl w:val="0"/>
              <w:spacing w:before="72" w:line="421" w:lineRule="exact"/>
              <w:ind w:left="84"/>
              <w:rPr>
                <w:rFonts w:ascii="宋体" w:hAnsi="宋体" w:eastAsia="宋体" w:cs="宋体"/>
                <w:spacing w:val="-2"/>
                <w:position w:val="15"/>
                <w:sz w:val="22"/>
                <w:szCs w:val="22"/>
              </w:rPr>
            </w:pPr>
            <w:r>
              <w:rPr>
                <w:rFonts w:ascii="宋体" w:hAnsi="宋体" w:eastAsia="宋体" w:cs="宋体"/>
                <w:spacing w:val="-2"/>
                <w:position w:val="15"/>
                <w:sz w:val="22"/>
                <w:szCs w:val="22"/>
              </w:rPr>
              <w:t>总体</w:t>
            </w:r>
          </w:p>
          <w:p>
            <w:pPr>
              <w:widowControl w:val="0"/>
              <w:spacing w:before="72" w:line="421" w:lineRule="exact"/>
              <w:ind w:left="84"/>
              <w:rPr>
                <w:rFonts w:ascii="宋体" w:hAnsi="宋体" w:eastAsia="宋体" w:cs="宋体"/>
                <w:spacing w:val="3"/>
                <w:sz w:val="22"/>
                <w:szCs w:val="22"/>
              </w:rPr>
            </w:pPr>
            <w:r>
              <w:rPr>
                <w:rFonts w:ascii="宋体" w:hAnsi="宋体" w:eastAsia="宋体" w:cs="宋体"/>
                <w:spacing w:val="-2"/>
                <w:position w:val="15"/>
                <w:sz w:val="22"/>
                <w:szCs w:val="22"/>
              </w:rPr>
              <w:t>情况</w:t>
            </w:r>
          </w:p>
        </w:tc>
        <w:tc>
          <w:tcPr>
            <w:tcW w:w="5108" w:type="dxa"/>
            <w:vAlign w:val="top"/>
          </w:tcPr>
          <w:p>
            <w:pPr>
              <w:widowControl w:val="0"/>
              <w:spacing w:before="203" w:line="292" w:lineRule="auto"/>
              <w:jc w:val="both"/>
              <w:rPr>
                <w:rFonts w:ascii="宋体" w:hAnsi="宋体" w:eastAsia="宋体" w:cs="宋体"/>
                <w:spacing w:val="16"/>
                <w:sz w:val="21"/>
                <w:szCs w:val="21"/>
              </w:rPr>
            </w:pPr>
            <w:r>
              <w:rPr>
                <w:rFonts w:ascii="宋体" w:hAnsi="宋体" w:eastAsia="宋体" w:cs="宋体"/>
                <w:spacing w:val="-1"/>
                <w:sz w:val="22"/>
                <w:szCs w:val="22"/>
              </w:rPr>
              <w:t>结合日常工作及集中整治情况，形成总体评估意见。</w:t>
            </w:r>
          </w:p>
        </w:tc>
        <w:tc>
          <w:tcPr>
            <w:tcW w:w="1733"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p>
        </w:tc>
        <w:tc>
          <w:tcPr>
            <w:tcW w:w="1234"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p>
        </w:tc>
        <w:tc>
          <w:tcPr>
            <w:tcW w:w="1750"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p>
        </w:tc>
        <w:tc>
          <w:tcPr>
            <w:tcW w:w="1283"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p>
        </w:tc>
        <w:tc>
          <w:tcPr>
            <w:tcW w:w="1717"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p>
        </w:tc>
        <w:tc>
          <w:tcPr>
            <w:tcW w:w="1266" w:type="dxa"/>
            <w:vAlign w:val="top"/>
          </w:tcPr>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vertAlign w:val="baseline"/>
              </w:rPr>
            </w:pPr>
          </w:p>
        </w:tc>
      </w:tr>
    </w:tbl>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eastAsia" w:ascii="仿宋" w:hAnsi="仿宋" w:eastAsia="仿宋" w:cs="仿宋"/>
          <w:spacing w:val="-6"/>
          <w:sz w:val="28"/>
          <w:szCs w:val="28"/>
        </w:rPr>
      </w:pPr>
    </w:p>
    <w:sectPr>
      <w:footerReference r:id="rId5" w:type="default"/>
      <w:pgSz w:w="16838" w:h="11906" w:orient="landscape"/>
      <w:pgMar w:top="1429" w:right="1786" w:bottom="1587" w:left="1701" w:header="851" w:footer="992" w:gutter="0"/>
      <w:pgNumType w:fmt="decimal"/>
      <w:cols w:space="0" w:num="1"/>
      <w:rtlGutter w:val="0"/>
      <w:docGrid w:type="lines" w:linePitch="31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3" w:csb1="00000000"/>
  </w:font>
  <w:font w:name="方正仿宋简体">
    <w:panose1 w:val="02000000000000000000"/>
    <w:charset w:val="86"/>
    <w:family w:val="auto"/>
    <w:pitch w:val="default"/>
    <w:sig w:usb0="A00002BF" w:usb1="184F6CFA" w:usb2="00000012" w:usb3="00000000" w:csb0="00040003"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rPr>
        <w:sz w:val="2"/>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7</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7</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VlZjY3ZTkzZTI4ZDc2MjhhMWY0MjI1ZDA3YWM0NGQifQ=="/>
  </w:docVars>
  <w:rsids>
    <w:rsidRoot w:val="61212877"/>
    <w:rsid w:val="500B22A8"/>
    <w:rsid w:val="5F7F68BF"/>
    <w:rsid w:val="61212877"/>
    <w:rsid w:val="61DF4559"/>
    <w:rsid w:val="AC793E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3378</Words>
  <Characters>3510</Characters>
  <Lines>0</Lines>
  <Paragraphs>0</Paragraphs>
  <TotalTime>58</TotalTime>
  <ScaleCrop>false</ScaleCrop>
  <LinksUpToDate>false</LinksUpToDate>
  <CharactersWithSpaces>3590</CharactersWithSpaces>
  <Application>WPS Office_12.1.0.15933_F1E327BC-269C-435d-A152-05C5408002CA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2023-11-02T01:01:00Z</dcterms:created>
  <dc:creator>北辰玄墨</dc:creator>
  <cp:lastModifiedBy>Hammer</cp:lastModifiedBy>
  <dcterms:modified xsi:type="dcterms:W3CDTF">2023-11-02T03:00:23Z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CB9CC953DAEA4A719C00C9A35F014FB1_13</vt:lpwstr>
  </property>
</Properties>
</file>