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78" w:lineRule="exact"/>
        <w:ind w:left="0" w:firstLine="0"/>
        <w:rPr>
          <w:rFonts w:hint="eastAsia" w:ascii="黑体" w:eastAsia="黑体" w:cs="黑体"/>
          <w:sz w:val="36"/>
          <w:szCs w:val="36"/>
          <w:lang w:bidi="ar-SA"/>
        </w:rPr>
      </w:pPr>
      <w:bookmarkStart w:id="0" w:name="_GoBack"/>
      <w:bookmarkEnd w:id="0"/>
      <w:r>
        <w:rPr>
          <w:rFonts w:hint="eastAsia" w:ascii="黑体" w:eastAsia="黑体" w:cs="黑体"/>
          <w:sz w:val="36"/>
          <w:szCs w:val="36"/>
          <w:lang w:bidi="ar-SA"/>
        </w:rPr>
        <w:t>附件</w:t>
      </w:r>
      <w:r>
        <w:rPr>
          <w:rFonts w:hint="default" w:ascii="Times New Roman" w:hAnsi="Times New Roman" w:eastAsia="黑体"/>
          <w:sz w:val="36"/>
          <w:szCs w:val="36"/>
          <w:lang w:val="en-US" w:eastAsia="zh-CN" w:bidi="ar-SA"/>
        </w:rPr>
        <w:t>1</w:t>
      </w:r>
    </w:p>
    <w:p>
      <w:pPr>
        <w:spacing w:line="578" w:lineRule="exact"/>
        <w:ind w:left="0"/>
        <w:rPr>
          <w:rFonts w:hint="eastAsia" w:ascii="Times New Roman" w:hAnsi="Times New Roman" w:eastAsia="仿宋_GB2312" w:cs="Times New Roman"/>
          <w:sz w:val="32"/>
          <w:szCs w:val="32"/>
          <w:lang w:bidi="ar-SA"/>
        </w:rPr>
      </w:pPr>
    </w:p>
    <w:p>
      <w:pPr>
        <w:spacing w:line="578" w:lineRule="exact"/>
        <w:jc w:val="center"/>
        <w:rPr>
          <w:rFonts w:hint="eastAsia" w:ascii="方正小标宋简体" w:eastAsia="方正小标宋简体" w:cs="Times New Roman"/>
          <w:sz w:val="44"/>
          <w:szCs w:val="44"/>
          <w:lang w:bidi="ar-SA"/>
        </w:rPr>
      </w:pPr>
      <w:r>
        <w:rPr>
          <w:rFonts w:hint="eastAsia" w:ascii="方正小标宋简体" w:eastAsia="方正小标宋简体" w:cs="Times New Roman"/>
          <w:sz w:val="44"/>
          <w:szCs w:val="44"/>
          <w:lang w:bidi="ar-SA"/>
        </w:rPr>
        <w:t>新闻单位驻</w:t>
      </w:r>
      <w:r>
        <w:rPr>
          <w:rFonts w:hint="eastAsia" w:ascii="方正小标宋简体" w:eastAsia="方正小标宋简体" w:cs="Times New Roman"/>
          <w:sz w:val="44"/>
          <w:szCs w:val="44"/>
          <w:lang w:eastAsia="zh-CN" w:bidi="ar-SA"/>
        </w:rPr>
        <w:t>地方</w:t>
      </w:r>
      <w:r>
        <w:rPr>
          <w:rFonts w:hint="eastAsia" w:ascii="方正小标宋简体" w:eastAsia="方正小标宋简体" w:cs="Times New Roman"/>
          <w:sz w:val="44"/>
          <w:szCs w:val="44"/>
          <w:lang w:bidi="ar-SA"/>
        </w:rPr>
        <w:t>机构2022、2023年度综合评估表</w:t>
      </w:r>
    </w:p>
    <w:p>
      <w:pPr>
        <w:spacing w:line="578" w:lineRule="exact"/>
        <w:ind w:left="0"/>
        <w:rPr>
          <w:rFonts w:ascii="Times New Roman" w:hAnsi="Times New Roman" w:eastAsia="仿宋_GB2312" w:cs="Times New Roman"/>
          <w:sz w:val="32"/>
          <w:szCs w:val="32"/>
          <w:lang w:bidi="ar-SA"/>
        </w:rPr>
      </w:pPr>
    </w:p>
    <w:p>
      <w:pPr>
        <w:spacing w:after="93" w:afterLines="30" w:line="578" w:lineRule="exact"/>
        <w:ind w:firstLine="482" w:firstLineChars="200"/>
        <w:rPr>
          <w:rFonts w:hint="eastAsia" w:ascii="仿宋_GB2312" w:eastAsia="仿宋_GB2312"/>
          <w:sz w:val="24"/>
          <w:szCs w:val="24"/>
          <w:u w:val="single"/>
        </w:rPr>
      </w:pPr>
      <w:r>
        <w:rPr>
          <w:rFonts w:hint="eastAsia" w:ascii="仿宋_GB2312" w:eastAsia="仿宋_GB2312" w:cs="Times New Roman"/>
          <w:b/>
          <w:bCs/>
          <w:sz w:val="24"/>
          <w:szCs w:val="24"/>
          <w:lang w:bidi="ar-SA"/>
        </w:rPr>
        <w:t>新闻单位驻</w:t>
      </w:r>
      <w:r>
        <w:rPr>
          <w:rFonts w:hint="eastAsia" w:ascii="仿宋_GB2312" w:eastAsia="仿宋_GB2312" w:cs="Times New Roman"/>
          <w:b/>
          <w:bCs/>
          <w:sz w:val="24"/>
          <w:szCs w:val="24"/>
          <w:lang w:eastAsia="zh-CN" w:bidi="ar-SA"/>
        </w:rPr>
        <w:t>地方</w:t>
      </w:r>
      <w:r>
        <w:rPr>
          <w:rFonts w:hint="eastAsia" w:ascii="仿宋_GB2312" w:eastAsia="仿宋_GB2312" w:cs="Times New Roman"/>
          <w:b/>
          <w:bCs/>
          <w:sz w:val="24"/>
          <w:szCs w:val="24"/>
          <w:lang w:bidi="ar-SA"/>
        </w:rPr>
        <w:t>机构名称：</w:t>
      </w:r>
      <w:r>
        <w:rPr>
          <w:rFonts w:hint="eastAsia" w:ascii="仿宋_GB2312" w:eastAsia="仿宋_GB2312" w:cs="Times New Roman"/>
          <w:sz w:val="24"/>
          <w:szCs w:val="24"/>
          <w:u w:val="single"/>
          <w:lang w:bidi="ar-SA"/>
        </w:rPr>
        <w:t xml:space="preserve">       </w:t>
      </w:r>
      <w:r>
        <w:rPr>
          <w:rFonts w:hint="eastAsia" w:ascii="仿宋_GB2312" w:eastAsia="仿宋_GB2312" w:cs="Times New Roman"/>
          <w:sz w:val="24"/>
          <w:szCs w:val="24"/>
          <w:u w:val="single"/>
          <w:lang w:val="en-US" w:eastAsia="zh-CN" w:bidi="ar-SA"/>
        </w:rPr>
        <w:t xml:space="preserve">               </w:t>
      </w:r>
      <w:r>
        <w:rPr>
          <w:rFonts w:hint="eastAsia" w:ascii="仿宋_GB2312" w:eastAsia="仿宋_GB2312" w:cs="Times New Roman"/>
          <w:b/>
          <w:bCs/>
          <w:sz w:val="24"/>
          <w:szCs w:val="24"/>
          <w:lang w:bidi="ar-SA"/>
        </w:rPr>
        <w:t>新闻单位：</w:t>
      </w:r>
      <w:r>
        <w:rPr>
          <w:rFonts w:hint="eastAsia" w:ascii="仿宋_GB2312" w:eastAsia="仿宋_GB2312" w:cs="Times New Roman"/>
          <w:sz w:val="24"/>
          <w:szCs w:val="24"/>
          <w:u w:val="single"/>
          <w:lang w:bidi="ar-SA"/>
        </w:rPr>
        <w:t xml:space="preserve">       </w:t>
      </w:r>
      <w:r>
        <w:rPr>
          <w:rFonts w:hint="eastAsia" w:ascii="仿宋_GB2312" w:eastAsia="仿宋_GB2312" w:cs="Times New Roman"/>
          <w:sz w:val="24"/>
          <w:szCs w:val="24"/>
          <w:u w:val="single"/>
          <w:lang w:val="en-US" w:eastAsia="zh-CN" w:bidi="ar-SA"/>
        </w:rPr>
        <w:t xml:space="preserve">              </w:t>
      </w:r>
      <w:r>
        <w:rPr>
          <w:rFonts w:hint="eastAsia" w:ascii="仿宋_GB2312" w:eastAsia="仿宋_GB2312" w:cs="Times New Roman"/>
          <w:sz w:val="24"/>
          <w:szCs w:val="24"/>
          <w:u w:val="single"/>
          <w:lang w:bidi="ar-SA"/>
        </w:rPr>
        <w:t>（盖章）</w:t>
      </w:r>
      <w:r>
        <w:rPr>
          <w:rFonts w:hint="eastAsia" w:ascii="仿宋_GB2312" w:eastAsia="仿宋_GB2312" w:cs="Times New Roman"/>
          <w:sz w:val="24"/>
          <w:szCs w:val="24"/>
          <w:u w:val="single"/>
          <w:lang w:val="en-US" w:eastAsia="zh-CN" w:bidi="ar-SA"/>
        </w:rPr>
        <w:t xml:space="preserve"> </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99"/>
        <w:gridCol w:w="5040"/>
        <w:gridCol w:w="1598"/>
        <w:gridCol w:w="1680"/>
        <w:gridCol w:w="1785"/>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8" w:hRule="atLeast"/>
          <w:tblHeader/>
          <w:jc w:val="center"/>
        </w:trPr>
        <w:tc>
          <w:tcPr>
            <w:tcW w:w="5939" w:type="dxa"/>
            <w:gridSpan w:val="2"/>
            <w:noWrap w:val="0"/>
            <w:vAlign w:val="center"/>
          </w:tcPr>
          <w:p>
            <w:pPr>
              <w:jc w:val="center"/>
              <w:rPr>
                <w:rFonts w:hint="eastAsia" w:ascii="黑体" w:eastAsia="黑体" w:cs="Times New Roman"/>
                <w:sz w:val="24"/>
                <w:szCs w:val="24"/>
                <w:lang w:bidi="ar-SA"/>
              </w:rPr>
            </w:pPr>
            <w:r>
              <w:rPr>
                <w:rFonts w:hint="eastAsia" w:ascii="黑体" w:eastAsia="黑体" w:cs="Times New Roman"/>
                <w:sz w:val="24"/>
                <w:szCs w:val="24"/>
                <w:lang w:bidi="ar-SA"/>
              </w:rPr>
              <w:t>评估指标</w:t>
            </w:r>
          </w:p>
        </w:tc>
        <w:tc>
          <w:tcPr>
            <w:tcW w:w="3278" w:type="dxa"/>
            <w:gridSpan w:val="2"/>
            <w:noWrap w:val="0"/>
            <w:vAlign w:val="center"/>
          </w:tcPr>
          <w:p>
            <w:pPr>
              <w:jc w:val="center"/>
              <w:rPr>
                <w:rFonts w:hint="eastAsia" w:ascii="黑体" w:eastAsia="黑体" w:cs="Times New Roman"/>
                <w:sz w:val="24"/>
                <w:szCs w:val="24"/>
                <w:lang w:bidi="ar-SA"/>
              </w:rPr>
            </w:pPr>
            <w:r>
              <w:rPr>
                <w:rFonts w:hint="eastAsia" w:ascii="黑体" w:eastAsia="黑体" w:cs="Times New Roman"/>
                <w:sz w:val="24"/>
                <w:szCs w:val="24"/>
                <w:lang w:bidi="ar-SA"/>
              </w:rPr>
              <w:t>驻地方机构自评</w:t>
            </w:r>
          </w:p>
        </w:tc>
        <w:tc>
          <w:tcPr>
            <w:tcW w:w="3301" w:type="dxa"/>
            <w:gridSpan w:val="2"/>
            <w:noWrap w:val="0"/>
            <w:vAlign w:val="center"/>
          </w:tcPr>
          <w:p>
            <w:pPr>
              <w:jc w:val="center"/>
              <w:rPr>
                <w:rFonts w:hint="eastAsia" w:ascii="黑体" w:eastAsia="黑体" w:cs="Times New Roman"/>
                <w:sz w:val="24"/>
                <w:szCs w:val="24"/>
                <w:lang w:bidi="ar-SA"/>
              </w:rPr>
            </w:pPr>
            <w:r>
              <w:rPr>
                <w:rFonts w:hint="eastAsia" w:ascii="黑体" w:eastAsia="黑体" w:cs="Times New Roman"/>
                <w:sz w:val="24"/>
                <w:szCs w:val="24"/>
                <w:lang w:bidi="ar-SA"/>
              </w:rPr>
              <w:t>新闻单位评估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7" w:hRule="atLeast"/>
          <w:tblHeader/>
          <w:jc w:val="center"/>
        </w:trPr>
        <w:tc>
          <w:tcPr>
            <w:tcW w:w="899"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项目</w:t>
            </w:r>
          </w:p>
        </w:tc>
        <w:tc>
          <w:tcPr>
            <w:tcW w:w="5040"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评估内容</w:t>
            </w:r>
          </w:p>
        </w:tc>
        <w:tc>
          <w:tcPr>
            <w:tcW w:w="1598"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等级</w:t>
            </w:r>
          </w:p>
          <w:p>
            <w:pPr>
              <w:jc w:val="center"/>
              <w:rPr>
                <w:rFonts w:hint="eastAsia" w:ascii="仿宋_GB2312" w:eastAsia="仿宋_GB2312" w:cs="Times New Roman"/>
                <w:sz w:val="24"/>
                <w:szCs w:val="24"/>
                <w:lang w:eastAsia="zh-CN" w:bidi="ar-SA"/>
              </w:rPr>
            </w:pPr>
            <w:r>
              <w:rPr>
                <w:rFonts w:hint="eastAsia" w:ascii="仿宋_GB2312" w:eastAsia="仿宋_GB2312" w:cs="Times New Roman"/>
                <w:sz w:val="24"/>
                <w:szCs w:val="24"/>
                <w:lang w:eastAsia="zh-CN" w:bidi="ar-SA"/>
              </w:rPr>
              <w:t>（优秀、良好、合格、不合格）</w:t>
            </w:r>
          </w:p>
        </w:tc>
        <w:tc>
          <w:tcPr>
            <w:tcW w:w="1680"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原因简述</w:t>
            </w:r>
          </w:p>
        </w:tc>
        <w:tc>
          <w:tcPr>
            <w:tcW w:w="1785"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等级</w:t>
            </w:r>
          </w:p>
          <w:p>
            <w:r>
              <w:rPr>
                <w:rFonts w:hint="eastAsia" w:ascii="仿宋_GB2312" w:eastAsia="仿宋_GB2312" w:cs="Times New Roman"/>
                <w:sz w:val="24"/>
                <w:szCs w:val="24"/>
                <w:lang w:eastAsia="zh-CN" w:bidi="ar-SA"/>
              </w:rPr>
              <w:t>（优秀、良好、合格、不合格）</w:t>
            </w:r>
          </w:p>
        </w:tc>
        <w:tc>
          <w:tcPr>
            <w:tcW w:w="1516" w:type="dxa"/>
            <w:noWrap w:val="0"/>
            <w:vAlign w:val="center"/>
          </w:tcPr>
          <w:p>
            <w:pPr>
              <w:jc w:val="center"/>
              <w:rPr>
                <w:rFonts w:hint="eastAsia" w:ascii="黑体" w:eastAsia="黑体" w:cs="Times New Roman"/>
                <w:sz w:val="24"/>
                <w:szCs w:val="24"/>
                <w:lang w:eastAsia="zh-CN" w:bidi="ar-SA"/>
              </w:rPr>
            </w:pPr>
            <w:r>
              <w:rPr>
                <w:rFonts w:hint="eastAsia" w:ascii="黑体" w:eastAsia="黑体" w:cs="Times New Roman"/>
                <w:sz w:val="24"/>
                <w:szCs w:val="24"/>
                <w:lang w:eastAsia="zh-CN" w:bidi="ar-SA"/>
              </w:rPr>
              <w:t>原因简述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881" w:hRule="atLeast"/>
          <w:jc w:val="center"/>
        </w:trPr>
        <w:tc>
          <w:tcPr>
            <w:tcW w:w="899" w:type="dxa"/>
            <w:noWrap w:val="0"/>
            <w:vAlign w:val="center"/>
          </w:tcPr>
          <w:p>
            <w:pPr>
              <w:spacing w:line="360" w:lineRule="exact"/>
              <w:jc w:val="center"/>
              <w:rPr>
                <w:rFonts w:hint="eastAsia" w:ascii="仿宋_GB2312" w:eastAsia="仿宋_GB2312"/>
                <w:b/>
                <w:bCs/>
                <w:sz w:val="24"/>
                <w:szCs w:val="24"/>
              </w:rPr>
            </w:pPr>
            <w:r>
              <w:rPr>
                <w:rFonts w:hint="eastAsia" w:ascii="仿宋_GB2312" w:eastAsia="仿宋_GB2312" w:cs="Times New Roman"/>
                <w:b/>
                <w:bCs/>
                <w:sz w:val="24"/>
                <w:szCs w:val="24"/>
                <w:lang w:bidi="ar-SA"/>
              </w:rPr>
              <w:t>导向管理情况</w:t>
            </w:r>
          </w:p>
        </w:tc>
        <w:tc>
          <w:tcPr>
            <w:tcW w:w="5040" w:type="dxa"/>
            <w:noWrap w:val="0"/>
            <w:vAlign w:val="center"/>
          </w:tcPr>
          <w:p>
            <w:pPr>
              <w:spacing w:line="360" w:lineRule="exact"/>
              <w:jc w:val="both"/>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1.新闻单位驻地方机构是否以习近平新时代中国特色社会主义思想为指导，全面贯彻落实党的二十大精神，严格遵守党的宣传纪律和工作要求，始终坚持正确的政治方向、舆论导向、价值取向；</w:t>
            </w:r>
          </w:p>
          <w:p>
            <w:pPr>
              <w:spacing w:line="360" w:lineRule="exact"/>
              <w:jc w:val="both"/>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2.驻地方机构是否围绕迎接宣传贯彻党的二十大，结合地方实际，发挥扎根基层、影响广泛的自身优势，深入开展主题宣传报道，服务党和国家工作大局、服务地方经济社会发展；</w:t>
            </w:r>
          </w:p>
          <w:p>
            <w:pPr>
              <w:spacing w:line="360" w:lineRule="exact"/>
              <w:jc w:val="both"/>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3.驻地方机构是否牢牢坚持正面宣传为主，弘扬主旋律，传播正能量，巩固壮大奋进新时代的主流思想舆论。</w:t>
            </w:r>
          </w:p>
        </w:tc>
        <w:tc>
          <w:tcPr>
            <w:tcW w:w="1598" w:type="dxa"/>
            <w:noWrap w:val="0"/>
            <w:vAlign w:val="center"/>
          </w:tcPr>
          <w:p>
            <w:pPr>
              <w:spacing w:line="460" w:lineRule="exact"/>
              <w:jc w:val="center"/>
              <w:rPr>
                <w:rFonts w:hint="eastAsia" w:ascii="仿宋_GB2312" w:eastAsia="仿宋_GB2312" w:cs="Times New Roman"/>
                <w:sz w:val="24"/>
                <w:szCs w:val="24"/>
                <w:lang w:bidi="ar-SA"/>
              </w:rPr>
            </w:pPr>
          </w:p>
        </w:tc>
        <w:tc>
          <w:tcPr>
            <w:tcW w:w="1680" w:type="dxa"/>
            <w:noWrap w:val="0"/>
            <w:vAlign w:val="center"/>
          </w:tcPr>
          <w:p>
            <w:pPr>
              <w:spacing w:line="460" w:lineRule="exact"/>
              <w:jc w:val="center"/>
              <w:rPr>
                <w:rFonts w:hint="eastAsia" w:ascii="仿宋_GB2312" w:eastAsia="仿宋_GB2312" w:cs="Times New Roman"/>
                <w:sz w:val="24"/>
                <w:szCs w:val="24"/>
                <w:lang w:bidi="ar-SA"/>
              </w:rPr>
            </w:pPr>
          </w:p>
        </w:tc>
        <w:tc>
          <w:tcPr>
            <w:tcW w:w="1785" w:type="dxa"/>
            <w:noWrap w:val="0"/>
            <w:vAlign w:val="center"/>
          </w:tcPr>
          <w:p>
            <w:pPr>
              <w:spacing w:line="460" w:lineRule="exact"/>
              <w:jc w:val="center"/>
              <w:rPr>
                <w:rFonts w:hint="eastAsia" w:ascii="仿宋_GB2312" w:eastAsia="仿宋_GB2312" w:cs="Times New Roman"/>
                <w:sz w:val="24"/>
                <w:szCs w:val="24"/>
                <w:lang w:bidi="ar-SA"/>
              </w:rPr>
            </w:pPr>
          </w:p>
        </w:tc>
        <w:tc>
          <w:tcPr>
            <w:tcW w:w="1516" w:type="dxa"/>
            <w:noWrap w:val="0"/>
            <w:vAlign w:val="center"/>
          </w:tcPr>
          <w:p>
            <w:pPr>
              <w:spacing w:line="460" w:lineRule="exact"/>
              <w:jc w:val="center"/>
              <w:rPr>
                <w:rFonts w:hint="eastAsia" w:ascii="仿宋_GB2312" w:eastAsia="仿宋_GB2312" w:cs="Times New Roman"/>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9" w:hRule="atLeast"/>
          <w:jc w:val="center"/>
        </w:trPr>
        <w:tc>
          <w:tcPr>
            <w:tcW w:w="899" w:type="dxa"/>
            <w:noWrap w:val="0"/>
            <w:vAlign w:val="center"/>
          </w:tcPr>
          <w:p>
            <w:pPr>
              <w:spacing w:line="420" w:lineRule="exact"/>
              <w:jc w:val="center"/>
              <w:rPr>
                <w:rFonts w:hint="eastAsia" w:ascii="仿宋_GB2312" w:eastAsia="仿宋_GB2312"/>
                <w:b/>
                <w:bCs/>
                <w:sz w:val="24"/>
                <w:szCs w:val="24"/>
              </w:rPr>
            </w:pPr>
            <w:r>
              <w:rPr>
                <w:rFonts w:hint="eastAsia" w:ascii="仿宋_GB2312" w:eastAsia="仿宋_GB2312" w:cs="Times New Roman"/>
                <w:b/>
                <w:bCs/>
                <w:sz w:val="24"/>
                <w:szCs w:val="24"/>
                <w:lang w:bidi="ar-SA"/>
              </w:rPr>
              <w:t>集中整治情况</w:t>
            </w:r>
          </w:p>
        </w:tc>
        <w:tc>
          <w:tcPr>
            <w:tcW w:w="5040" w:type="dxa"/>
            <w:noWrap w:val="0"/>
            <w:vAlign w:val="center"/>
          </w:tcPr>
          <w:p>
            <w:pPr>
              <w:spacing w:line="420" w:lineRule="exact"/>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1.新闻单位驻地方机构是否落实2023年打击新闻敲诈和假新闻专项行动方案要求，对参与广告经营等活动进行集中整治，对集中整治查摆出来的问题进行严肃认真整改；</w:t>
            </w:r>
          </w:p>
          <w:p>
            <w:pPr>
              <w:spacing w:line="420" w:lineRule="exact"/>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2.驻地方机构人员是否存在兼职取酬、创办或参股经营实体、配偶开办广告文化类公司等情况；</w:t>
            </w:r>
          </w:p>
          <w:p>
            <w:pPr>
              <w:spacing w:line="420" w:lineRule="exact"/>
              <w:textAlignment w:val="baseline"/>
              <w:rPr>
                <w:rFonts w:hint="eastAsia" w:ascii="仿宋_GB2312" w:eastAsia="仿宋_GB2312" w:cs="Times New Roman"/>
                <w:sz w:val="24"/>
                <w:szCs w:val="24"/>
                <w:lang w:bidi="ar-SA"/>
              </w:rPr>
            </w:pPr>
            <w:r>
              <w:rPr>
                <w:rFonts w:hint="eastAsia" w:ascii="仿宋_GB2312" w:eastAsia="仿宋_GB2312" w:cs="Times New Roman"/>
                <w:sz w:val="24"/>
                <w:szCs w:val="24"/>
                <w:lang w:bidi="ar-SA"/>
              </w:rPr>
              <w:t>3.驻地方机构及其人员是否存在利用职务影响和职务便利进行新闻敲诈、有偿新闻、有偿不闻以及其他违法违规问题。</w:t>
            </w:r>
          </w:p>
        </w:tc>
        <w:tc>
          <w:tcPr>
            <w:tcW w:w="1598" w:type="dxa"/>
            <w:noWrap w:val="0"/>
            <w:vAlign w:val="center"/>
          </w:tcPr>
          <w:p>
            <w:pPr>
              <w:spacing w:line="400" w:lineRule="exact"/>
              <w:jc w:val="center"/>
              <w:rPr>
                <w:rFonts w:hint="eastAsia" w:ascii="仿宋_GB2312" w:eastAsia="仿宋_GB2312" w:cs="Times New Roman"/>
                <w:sz w:val="24"/>
                <w:szCs w:val="24"/>
                <w:lang w:bidi="ar-SA"/>
              </w:rPr>
            </w:pPr>
          </w:p>
        </w:tc>
        <w:tc>
          <w:tcPr>
            <w:tcW w:w="1680" w:type="dxa"/>
            <w:noWrap w:val="0"/>
            <w:vAlign w:val="center"/>
          </w:tcPr>
          <w:p>
            <w:pPr>
              <w:spacing w:line="400" w:lineRule="exact"/>
              <w:jc w:val="center"/>
              <w:rPr>
                <w:rFonts w:hint="eastAsia" w:ascii="仿宋_GB2312" w:eastAsia="仿宋_GB2312" w:cs="Times New Roman"/>
                <w:sz w:val="24"/>
                <w:szCs w:val="24"/>
                <w:lang w:bidi="ar-SA"/>
              </w:rPr>
            </w:pPr>
          </w:p>
        </w:tc>
        <w:tc>
          <w:tcPr>
            <w:tcW w:w="1785" w:type="dxa"/>
            <w:noWrap w:val="0"/>
            <w:vAlign w:val="center"/>
          </w:tcPr>
          <w:p>
            <w:pPr>
              <w:spacing w:line="400" w:lineRule="exact"/>
              <w:jc w:val="center"/>
              <w:rPr>
                <w:rFonts w:hint="eastAsia" w:ascii="仿宋_GB2312" w:eastAsia="仿宋_GB2312" w:cs="Times New Roman"/>
                <w:sz w:val="24"/>
                <w:szCs w:val="24"/>
                <w:lang w:bidi="ar-SA"/>
              </w:rPr>
            </w:pPr>
          </w:p>
        </w:tc>
        <w:tc>
          <w:tcPr>
            <w:tcW w:w="1516" w:type="dxa"/>
            <w:noWrap w:val="0"/>
            <w:vAlign w:val="center"/>
          </w:tcPr>
          <w:p>
            <w:pPr>
              <w:spacing w:line="400" w:lineRule="exact"/>
              <w:jc w:val="center"/>
              <w:rPr>
                <w:rFonts w:hint="eastAsia" w:ascii="仿宋_GB2312" w:eastAsia="仿宋_GB2312" w:cs="Times New Roman"/>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193" w:hRule="atLeast"/>
          <w:jc w:val="center"/>
        </w:trPr>
        <w:tc>
          <w:tcPr>
            <w:tcW w:w="899" w:type="dxa"/>
            <w:noWrap w:val="0"/>
            <w:vAlign w:val="center"/>
          </w:tcPr>
          <w:p>
            <w:pPr>
              <w:spacing w:line="420" w:lineRule="exact"/>
              <w:jc w:val="center"/>
              <w:rPr>
                <w:rFonts w:hint="eastAsia" w:ascii="仿宋_GB2312" w:eastAsia="仿宋_GB2312"/>
                <w:b/>
                <w:bCs/>
                <w:sz w:val="24"/>
                <w:szCs w:val="24"/>
              </w:rPr>
            </w:pPr>
            <w:r>
              <w:rPr>
                <w:rFonts w:hint="eastAsia" w:ascii="仿宋_GB2312" w:eastAsia="仿宋_GB2312" w:cs="Times New Roman"/>
                <w:b/>
                <w:bCs/>
                <w:sz w:val="24"/>
                <w:szCs w:val="24"/>
                <w:lang w:bidi="ar-SA"/>
              </w:rPr>
              <w:t>新闻采编情况</w:t>
            </w:r>
          </w:p>
        </w:tc>
        <w:tc>
          <w:tcPr>
            <w:tcW w:w="5040" w:type="dxa"/>
            <w:noWrap w:val="0"/>
            <w:vAlign w:val="center"/>
          </w:tcPr>
          <w:p>
            <w:pPr>
              <w:spacing w:line="420" w:lineRule="exac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1.新闻单位驻地方机构是否实行新闻线索集中管理和统一安排采访；</w:t>
            </w:r>
          </w:p>
          <w:p>
            <w:pPr>
              <w:spacing w:line="420" w:lineRule="exac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2.驻地方机构是否从事与新闻单位业务范围相一致的新闻采编活动；</w:t>
            </w:r>
          </w:p>
          <w:p>
            <w:pPr>
              <w:spacing w:line="420" w:lineRule="exac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3.驻地方机构是否建立健全新闻采编工作记录、自查评估等规章制度；</w:t>
            </w:r>
          </w:p>
          <w:p>
            <w:pPr>
              <w:spacing w:line="420" w:lineRule="exac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4.驻地方机构是否在新闻单位所办媒体年刊播新闻报道达到30篇。</w:t>
            </w:r>
          </w:p>
        </w:tc>
        <w:tc>
          <w:tcPr>
            <w:tcW w:w="1598" w:type="dxa"/>
            <w:noWrap w:val="0"/>
            <w:vAlign w:val="center"/>
          </w:tcPr>
          <w:p>
            <w:pPr>
              <w:spacing w:line="400" w:lineRule="exact"/>
              <w:jc w:val="center"/>
              <w:rPr>
                <w:rFonts w:hint="eastAsia" w:ascii="仿宋_GB2312" w:eastAsia="仿宋_GB2312" w:cs="Times New Roman"/>
                <w:sz w:val="24"/>
                <w:szCs w:val="24"/>
                <w:lang w:bidi="ar-SA"/>
              </w:rPr>
            </w:pPr>
          </w:p>
        </w:tc>
        <w:tc>
          <w:tcPr>
            <w:tcW w:w="1680" w:type="dxa"/>
            <w:noWrap w:val="0"/>
            <w:vAlign w:val="center"/>
          </w:tcPr>
          <w:p>
            <w:pPr>
              <w:spacing w:line="400" w:lineRule="exact"/>
              <w:jc w:val="center"/>
              <w:rPr>
                <w:rFonts w:hint="eastAsia" w:ascii="仿宋_GB2312" w:eastAsia="仿宋_GB2312" w:cs="Times New Roman"/>
                <w:sz w:val="24"/>
                <w:szCs w:val="24"/>
                <w:lang w:bidi="ar-SA"/>
              </w:rPr>
            </w:pPr>
          </w:p>
        </w:tc>
        <w:tc>
          <w:tcPr>
            <w:tcW w:w="1785" w:type="dxa"/>
            <w:noWrap w:val="0"/>
            <w:vAlign w:val="center"/>
          </w:tcPr>
          <w:p>
            <w:pPr>
              <w:spacing w:line="400" w:lineRule="exact"/>
              <w:jc w:val="center"/>
              <w:rPr>
                <w:rFonts w:hint="eastAsia" w:ascii="仿宋_GB2312" w:eastAsia="仿宋_GB2312" w:cs="Times New Roman"/>
                <w:sz w:val="24"/>
                <w:szCs w:val="24"/>
                <w:lang w:bidi="ar-SA"/>
              </w:rPr>
            </w:pPr>
          </w:p>
        </w:tc>
        <w:tc>
          <w:tcPr>
            <w:tcW w:w="1516" w:type="dxa"/>
            <w:noWrap w:val="0"/>
            <w:vAlign w:val="center"/>
          </w:tcPr>
          <w:p>
            <w:pPr>
              <w:spacing w:line="400" w:lineRule="exact"/>
              <w:jc w:val="center"/>
              <w:rPr>
                <w:rFonts w:hint="eastAsia" w:ascii="仿宋_GB2312" w:eastAsia="仿宋_GB2312" w:cs="Times New Roman"/>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8" w:hRule="atLeast"/>
          <w:jc w:val="center"/>
        </w:trPr>
        <w:tc>
          <w:tcPr>
            <w:tcW w:w="899" w:type="dxa"/>
            <w:noWrap w:val="0"/>
            <w:vAlign w:val="center"/>
          </w:tcPr>
          <w:p>
            <w:pPr>
              <w:spacing w:line="420" w:lineRule="exact"/>
              <w:jc w:val="center"/>
              <w:rPr>
                <w:rFonts w:hint="eastAsia" w:ascii="仿宋_GB2312" w:eastAsia="仿宋_GB2312"/>
                <w:b/>
                <w:bCs/>
                <w:sz w:val="24"/>
                <w:szCs w:val="24"/>
              </w:rPr>
            </w:pPr>
            <w:r>
              <w:rPr>
                <w:rFonts w:hint="eastAsia" w:ascii="仿宋_GB2312" w:eastAsia="仿宋_GB2312"/>
                <w:b/>
                <w:bCs/>
                <w:sz w:val="24"/>
                <w:szCs w:val="24"/>
                <w:lang w:bidi="ar-SA"/>
              </w:rPr>
              <w:t>领导管理情况</w:t>
            </w:r>
          </w:p>
        </w:tc>
        <w:tc>
          <w:tcPr>
            <w:tcW w:w="5040" w:type="dxa"/>
            <w:noWrap w:val="0"/>
            <w:vAlign w:val="center"/>
          </w:tcPr>
          <w:p>
            <w:pPr>
              <w:spacing w:line="420" w:lineRule="exact"/>
              <w:jc w:val="lef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1.新闻单位是否定期巡视检查驻地方机构，建立健全驻地方机构负责人任期、轮岗、审计、约谈、问责以及人员管理、培训、检查、公示等制度；</w:t>
            </w:r>
          </w:p>
          <w:p>
            <w:pPr>
              <w:spacing w:line="420" w:lineRule="exact"/>
              <w:jc w:val="lef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2.新闻单位是否存在擅自设立驻地方机构、以运营公司等名义设立驻地方机构等问题；</w:t>
            </w:r>
          </w:p>
          <w:p>
            <w:pPr>
              <w:spacing w:line="420" w:lineRule="exact"/>
              <w:jc w:val="lef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3.新闻单位是否保障驻地方机构的经费开支和工作人员工资。</w:t>
            </w:r>
          </w:p>
        </w:tc>
        <w:tc>
          <w:tcPr>
            <w:tcW w:w="1598" w:type="dxa"/>
            <w:noWrap w:val="0"/>
            <w:vAlign w:val="center"/>
          </w:tcPr>
          <w:p>
            <w:pPr>
              <w:spacing w:line="400" w:lineRule="exact"/>
              <w:jc w:val="center"/>
              <w:rPr>
                <w:rFonts w:hint="eastAsia" w:ascii="仿宋_GB2312" w:eastAsia="仿宋_GB2312" w:cs="Times New Roman"/>
                <w:sz w:val="24"/>
                <w:szCs w:val="24"/>
                <w:lang w:bidi="ar-SA"/>
              </w:rPr>
            </w:pPr>
          </w:p>
        </w:tc>
        <w:tc>
          <w:tcPr>
            <w:tcW w:w="1680" w:type="dxa"/>
            <w:noWrap w:val="0"/>
            <w:vAlign w:val="center"/>
          </w:tcPr>
          <w:p>
            <w:pPr>
              <w:spacing w:line="400" w:lineRule="exact"/>
              <w:jc w:val="center"/>
              <w:rPr>
                <w:rFonts w:hint="eastAsia" w:ascii="仿宋_GB2312" w:eastAsia="仿宋_GB2312" w:cs="Times New Roman"/>
                <w:sz w:val="24"/>
                <w:szCs w:val="24"/>
                <w:lang w:bidi="ar-SA"/>
              </w:rPr>
            </w:pPr>
          </w:p>
        </w:tc>
        <w:tc>
          <w:tcPr>
            <w:tcW w:w="1785" w:type="dxa"/>
            <w:noWrap w:val="0"/>
            <w:vAlign w:val="center"/>
          </w:tcPr>
          <w:p>
            <w:pPr>
              <w:spacing w:line="400" w:lineRule="exact"/>
              <w:jc w:val="center"/>
              <w:rPr>
                <w:rFonts w:hint="eastAsia" w:ascii="仿宋_GB2312" w:eastAsia="仿宋_GB2312" w:cs="Times New Roman"/>
                <w:sz w:val="24"/>
                <w:szCs w:val="24"/>
                <w:lang w:bidi="ar-SA"/>
              </w:rPr>
            </w:pPr>
          </w:p>
        </w:tc>
        <w:tc>
          <w:tcPr>
            <w:tcW w:w="1516" w:type="dxa"/>
            <w:noWrap w:val="0"/>
            <w:vAlign w:val="center"/>
          </w:tcPr>
          <w:p>
            <w:pPr>
              <w:spacing w:line="400" w:lineRule="exact"/>
              <w:jc w:val="center"/>
              <w:rPr>
                <w:rFonts w:hint="eastAsia" w:ascii="仿宋_GB2312" w:eastAsia="仿宋_GB2312" w:cs="Times New Roman"/>
                <w:sz w:val="24"/>
                <w:szCs w:val="24"/>
                <w:lang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5" w:hRule="atLeast"/>
          <w:jc w:val="center"/>
        </w:trPr>
        <w:tc>
          <w:tcPr>
            <w:tcW w:w="899" w:type="dxa"/>
            <w:noWrap w:val="0"/>
            <w:vAlign w:val="center"/>
          </w:tcPr>
          <w:p>
            <w:pPr>
              <w:spacing w:line="420" w:lineRule="exact"/>
              <w:jc w:val="center"/>
              <w:rPr>
                <w:rFonts w:hint="eastAsia" w:ascii="仿宋_GB2312" w:eastAsia="仿宋_GB2312"/>
                <w:b/>
                <w:bCs/>
                <w:sz w:val="24"/>
                <w:szCs w:val="24"/>
                <w:lang w:bidi="ar-SA"/>
              </w:rPr>
            </w:pPr>
            <w:r>
              <w:rPr>
                <w:rFonts w:hint="eastAsia" w:ascii="仿宋_GB2312" w:eastAsia="仿宋_GB2312"/>
                <w:b/>
                <w:bCs/>
                <w:sz w:val="24"/>
                <w:szCs w:val="24"/>
                <w:lang w:bidi="ar-SA"/>
              </w:rPr>
              <w:t>总体</w:t>
            </w:r>
          </w:p>
          <w:p>
            <w:pPr>
              <w:spacing w:line="420" w:lineRule="exact"/>
              <w:jc w:val="center"/>
              <w:rPr>
                <w:rFonts w:hint="eastAsia" w:ascii="仿宋_GB2312" w:eastAsia="仿宋_GB2312"/>
                <w:b/>
                <w:bCs/>
                <w:sz w:val="24"/>
                <w:szCs w:val="24"/>
                <w:lang w:bidi="ar-SA"/>
              </w:rPr>
            </w:pPr>
            <w:r>
              <w:rPr>
                <w:rFonts w:hint="eastAsia" w:ascii="仿宋_GB2312" w:eastAsia="仿宋_GB2312"/>
                <w:b/>
                <w:bCs/>
                <w:sz w:val="24"/>
                <w:szCs w:val="24"/>
                <w:lang w:bidi="ar-SA"/>
              </w:rPr>
              <w:t>情况</w:t>
            </w:r>
          </w:p>
        </w:tc>
        <w:tc>
          <w:tcPr>
            <w:tcW w:w="5040" w:type="dxa"/>
            <w:noWrap w:val="0"/>
            <w:vAlign w:val="center"/>
          </w:tcPr>
          <w:p>
            <w:pPr>
              <w:spacing w:line="420" w:lineRule="exact"/>
              <w:jc w:val="left"/>
              <w:rPr>
                <w:rFonts w:hint="eastAsia" w:ascii="仿宋_GB2312" w:eastAsia="仿宋_GB2312" w:cs="Times New Roman"/>
                <w:sz w:val="24"/>
                <w:szCs w:val="24"/>
                <w:lang w:bidi="ar-SA"/>
              </w:rPr>
            </w:pPr>
            <w:r>
              <w:rPr>
                <w:rFonts w:hint="eastAsia" w:ascii="仿宋_GB2312" w:eastAsia="仿宋_GB2312" w:cs="Times New Roman"/>
                <w:sz w:val="24"/>
                <w:szCs w:val="24"/>
                <w:lang w:bidi="ar-SA"/>
              </w:rPr>
              <w:t>结合日常工作及集中整治情况，形成总体评估意见。</w:t>
            </w:r>
          </w:p>
        </w:tc>
        <w:tc>
          <w:tcPr>
            <w:tcW w:w="1598" w:type="dxa"/>
            <w:noWrap w:val="0"/>
            <w:vAlign w:val="center"/>
          </w:tcPr>
          <w:p>
            <w:pPr>
              <w:spacing w:line="400" w:lineRule="exact"/>
              <w:jc w:val="center"/>
              <w:rPr>
                <w:rFonts w:hint="eastAsia" w:ascii="仿宋_GB2312" w:eastAsia="仿宋_GB2312" w:cs="Times New Roman"/>
                <w:sz w:val="24"/>
                <w:szCs w:val="24"/>
                <w:lang w:bidi="ar-SA"/>
              </w:rPr>
            </w:pPr>
          </w:p>
        </w:tc>
        <w:tc>
          <w:tcPr>
            <w:tcW w:w="1680" w:type="dxa"/>
            <w:noWrap w:val="0"/>
            <w:vAlign w:val="center"/>
          </w:tcPr>
          <w:p>
            <w:pPr>
              <w:spacing w:line="400" w:lineRule="exact"/>
              <w:jc w:val="center"/>
              <w:rPr>
                <w:rFonts w:hint="eastAsia" w:ascii="仿宋_GB2312" w:eastAsia="仿宋_GB2312" w:cs="Times New Roman"/>
                <w:sz w:val="24"/>
                <w:szCs w:val="24"/>
                <w:lang w:bidi="ar-SA"/>
              </w:rPr>
            </w:pPr>
          </w:p>
        </w:tc>
        <w:tc>
          <w:tcPr>
            <w:tcW w:w="1785" w:type="dxa"/>
            <w:noWrap w:val="0"/>
            <w:vAlign w:val="center"/>
          </w:tcPr>
          <w:p>
            <w:pPr>
              <w:spacing w:line="400" w:lineRule="exact"/>
              <w:jc w:val="center"/>
              <w:rPr>
                <w:rFonts w:hint="eastAsia" w:ascii="仿宋_GB2312" w:eastAsia="仿宋_GB2312" w:cs="Times New Roman"/>
                <w:sz w:val="24"/>
                <w:szCs w:val="24"/>
                <w:lang w:bidi="ar-SA"/>
              </w:rPr>
            </w:pPr>
          </w:p>
        </w:tc>
        <w:tc>
          <w:tcPr>
            <w:tcW w:w="1516" w:type="dxa"/>
            <w:noWrap w:val="0"/>
            <w:vAlign w:val="center"/>
          </w:tcPr>
          <w:p>
            <w:pPr>
              <w:spacing w:line="400" w:lineRule="exact"/>
              <w:jc w:val="center"/>
              <w:rPr>
                <w:rFonts w:hint="eastAsia" w:ascii="仿宋_GB2312" w:eastAsia="仿宋_GB2312" w:cs="Times New Roman"/>
                <w:sz w:val="24"/>
                <w:szCs w:val="24"/>
                <w:lang w:bidi="ar-SA"/>
              </w:rPr>
            </w:pPr>
          </w:p>
        </w:tc>
      </w:tr>
    </w:tbl>
    <w:p>
      <w:pPr>
        <w:rPr>
          <w:rFonts w:hint="eastAsia" w:ascii="仿宋_GB2312" w:eastAsia="仿宋_GB2312"/>
        </w:rPr>
      </w:pPr>
    </w:p>
    <w:sectPr>
      <w:footerReference r:id="rId3" w:type="default"/>
      <w:footerReference r:id="rId4" w:type="even"/>
      <w:pgSz w:w="16840" w:h="11907" w:orient="landscape"/>
      <w:pgMar w:top="1701" w:right="1701" w:bottom="1418" w:left="1701" w:header="851" w:footer="1134" w:gutter="0"/>
      <w:pgNumType w:start="7" w:chapStyle="1" w:chapSep="em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1" w:usb1="080E0000" w:usb2="00000000" w:usb3="00000000" w:csb0="00040000" w:csb1="00000000"/>
  </w:font>
  <w:font w:name="Luxi Sans">
    <w:altName w:val="Times New Roman"/>
    <w:panose1 w:val="00000000000000000000"/>
    <w:charset w:val="00"/>
    <w:family w:val="auto"/>
    <w:pitch w:val="default"/>
    <w:sig w:usb0="00000000" w:usb1="00000000" w:usb2="00000000" w:usb3="00000000" w:csb0="00040001" w:csb1="00000000"/>
  </w:font>
  <w:font w:name="方正小标宋简体">
    <w:altName w:val="Arial Unicode MS"/>
    <w:panose1 w:val="03000509000000000000"/>
    <w:charset w:val="86"/>
    <w:family w:val="swiss"/>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Bdr>
        <w:top w:val="none" w:color="auto" w:sz="0" w:space="0"/>
        <w:left w:val="none" w:color="auto" w:sz="0" w:space="0"/>
        <w:bottom w:val="none" w:color="auto" w:sz="0" w:space="0"/>
        <w:right w:val="none" w:color="auto" w:sz="0" w:space="0"/>
      </w:pBdr>
    </w:pPr>
    <w:r>
      <w:rPr>
        <w:rStyle w:val="10"/>
      </w:rPr>
      <w:fldChar w:fldCharType="begin"/>
    </w:r>
    <w:r>
      <w:rPr>
        <w:rStyle w:val="10"/>
      </w:rPr>
      <w:instrText xml:space="preserve">Page</w:instrText>
    </w:r>
    <w:r>
      <w:rPr>
        <w:rStyle w:val="10"/>
      </w:rPr>
      <w:fldChar w:fldCharType="separate"/>
    </w:r>
    <w:r>
      <w:rPr>
        <w:rStyle w:val="10"/>
      </w:rPr>
      <w:t>7</w:t>
    </w:r>
    <w:r>
      <w:rPr>
        <w:rStyle w:val="10"/>
      </w:rPr>
      <w:fldChar w:fldCharType="end"/>
    </w:r>
  </w:p>
  <w:p>
    <w:pPr>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pBdr>
        <w:top w:val="none" w:color="auto" w:sz="0" w:space="0"/>
        <w:left w:val="none" w:color="auto" w:sz="0" w:space="0"/>
        <w:bottom w:val="none" w:color="auto" w:sz="0" w:space="0"/>
        <w:right w:val="none" w:color="auto" w:sz="0" w:space="0"/>
      </w:pBdr>
    </w:pPr>
    <w:r>
      <w:rPr>
        <w:rStyle w:val="10"/>
      </w:rPr>
      <w:fldChar w:fldCharType="begin"/>
    </w:r>
    <w:r>
      <w:rPr>
        <w:rStyle w:val="10"/>
      </w:rPr>
      <w:instrText xml:space="preserve">Page</w:instrText>
    </w:r>
    <w:r>
      <w:rPr>
        <w:rStyle w:val="10"/>
      </w:rPr>
      <w:fldChar w:fldCharType="separate"/>
    </w:r>
    <w:r>
      <w:rPr>
        <w:rStyle w:val="10"/>
      </w:rPr>
      <w:t>7</w:t>
    </w:r>
    <w:r>
      <w:rPr>
        <w:rStyle w:val="10"/>
      </w:rPr>
      <w:fldChar w:fldCharType="end"/>
    </w:r>
  </w:p>
  <w:p>
    <w:pPr>
      <w:pStyle w:val="5"/>
      <w:framePr w:wrap="around" w:vAnchor="text" w:hAnchor="margin" w:xAlign="center" w:y="1"/>
      <w:pBdr>
        <w:top w:val="none" w:color="auto" w:sz="0" w:space="0"/>
        <w:left w:val="none" w:color="auto" w:sz="0" w:space="0"/>
        <w:bottom w:val="none" w:color="auto" w:sz="0" w:space="0"/>
        <w:right w:val="none" w:color="auto" w:sz="0" w:space="0"/>
      </w:pBdr>
    </w:pPr>
    <w:r>
      <w:rPr>
        <w:rStyle w:val="10"/>
      </w:rPr>
      <w:fldChar w:fldCharType="begin"/>
    </w:r>
    <w:r>
      <w:rPr>
        <w:rStyle w:val="10"/>
      </w:rPr>
      <w:instrText xml:space="preserve">Page</w:instrText>
    </w:r>
    <w:r>
      <w:rPr>
        <w:rStyle w:val="10"/>
      </w:rPr>
      <w:fldChar w:fldCharType="separate"/>
    </w:r>
    <w:r>
      <w:rPr>
        <w:rStyle w:val="10"/>
      </w:rPr>
      <w:t>- 7 -</w:t>
    </w:r>
    <w:r>
      <w:rPr>
        <w:rStyle w:val="10"/>
      </w:rPr>
      <w:fldChar w:fldCharType="end"/>
    </w:r>
  </w:p>
  <w:p>
    <w:pPr>
      <w:pStyle w:val="5"/>
      <w:framePr w:wrap="around" w:vAnchor="text" w:hAnchor="margin" w:y="1"/>
      <w:pBdr>
        <w:top w:val="none" w:color="auto" w:sz="0" w:space="0"/>
        <w:left w:val="none" w:color="auto" w:sz="0" w:space="0"/>
        <w:bottom w:val="none" w:color="auto" w:sz="0" w:space="0"/>
        <w:right w:val="none" w:color="auto" w:sz="0" w:space="0"/>
      </w:pBdr>
    </w:pPr>
    <w:r>
      <w:rPr>
        <w:rStyle w:val="10"/>
      </w:rPr>
      <w:fldChar w:fldCharType="begin"/>
    </w:r>
    <w:r>
      <w:rPr>
        <w:rStyle w:val="10"/>
      </w:rPr>
      <w:instrText xml:space="preserve">Page</w:instrText>
    </w:r>
    <w:r>
      <w:rPr>
        <w:rStyle w:val="10"/>
      </w:rPr>
      <w:fldChar w:fldCharType="separate"/>
    </w:r>
    <w:r>
      <w:rPr>
        <w:rStyle w:val="10"/>
      </w:rPr>
      <w:t>- 7 -</w:t>
    </w:r>
    <w:r>
      <w:rPr>
        <w:rStyle w:val="10"/>
      </w:rPr>
      <w:fldChar w:fldCharType="end"/>
    </w:r>
  </w:p>
  <w:p>
    <w:pPr>
      <w:pStyle w:val="5"/>
      <w:framePr w:wrap="around" w:vAnchor="page" w:hAnchor="margin" w:xAlign="outside" w:yAlign="inside"/>
      <w:pBdr>
        <w:top w:val="none" w:color="auto" w:sz="0" w:space="0"/>
        <w:left w:val="none" w:color="auto" w:sz="0" w:space="0"/>
        <w:bottom w:val="none" w:color="auto" w:sz="0" w:space="0"/>
        <w:right w:val="none" w:color="auto" w:sz="0" w:space="0"/>
      </w:pBdr>
      <w:ind w:firstLine="360"/>
    </w:pPr>
    <w:r>
      <w:rPr>
        <w:rStyle w:val="10"/>
      </w:rPr>
      <w:fldChar w:fldCharType="begin"/>
    </w:r>
    <w:r>
      <w:rPr>
        <w:rStyle w:val="10"/>
      </w:rPr>
      <w:instrText xml:space="preserve">Page</w:instrText>
    </w:r>
    <w:r>
      <w:rPr>
        <w:rStyle w:val="10"/>
      </w:rPr>
      <w:fldChar w:fldCharType="separate"/>
    </w:r>
    <w:r>
      <w:rPr>
        <w:rStyle w:val="10"/>
      </w:rPr>
      <w:t>- 7 -</w:t>
    </w:r>
    <w:r>
      <w:rPr>
        <w:rStyle w:val="10"/>
      </w:rPr>
      <w:fldChar w:fldCharType="end"/>
    </w:r>
  </w:p>
  <w:p>
    <w:pPr>
      <w:pStyle w:val="5"/>
      <w:framePr w:wrap="around" w:vAnchor="text" w:hAnchor="margin" w:xAlign="center" w:y="1"/>
      <w:pBdr>
        <w:top w:val="none" w:color="auto" w:sz="0" w:space="0"/>
        <w:left w:val="none" w:color="auto" w:sz="0" w:space="0"/>
        <w:bottom w:val="none" w:color="auto" w:sz="0" w:space="0"/>
        <w:right w:val="none" w:color="auto" w:sz="0" w:space="0"/>
      </w:pBdr>
      <w:ind w:right="360" w:firstLine="360"/>
    </w:pPr>
    <w:r>
      <w:rPr>
        <w:rStyle w:val="10"/>
      </w:rPr>
      <w:fldChar w:fldCharType="begin"/>
    </w:r>
    <w:r>
      <w:rPr>
        <w:rStyle w:val="10"/>
      </w:rPr>
      <w:instrText xml:space="preserve">Page</w:instrText>
    </w:r>
    <w:r>
      <w:rPr>
        <w:rStyle w:val="10"/>
      </w:rPr>
      <w:fldChar w:fldCharType="separate"/>
    </w:r>
    <w:r>
      <w:rPr>
        <w:rStyle w:val="10"/>
      </w:rPr>
      <w:t>7</w:t>
    </w:r>
    <w:r>
      <w:rPr>
        <w:rStyle w:val="10"/>
      </w:rPr>
      <w:fldChar w:fldCharType="end"/>
    </w:r>
  </w:p>
  <w:p>
    <w:pPr>
      <w:pStyle w:val="5"/>
      <w:framePr w:wrap="around" w:vAnchor="text" w:hAnchor="margin" w:xAlign="outside" w:y="1"/>
      <w:ind w:right="360" w:firstLine="360"/>
      <w:rPr>
        <w:rStyle w:val="11"/>
      </w:rPr>
    </w:pPr>
    <w:r>
      <w:fldChar w:fldCharType="begin"/>
    </w:r>
    <w:r>
      <w:rPr>
        <w:rStyle w:val="11"/>
      </w:rPr>
      <w:instrText xml:space="preserve">PAGE  </w:instrText>
    </w:r>
    <w:r>
      <w:fldChar w:fldCharType="separate"/>
    </w:r>
    <w:r>
      <w:rPr>
        <w:rStyle w:val="11"/>
      </w:rPr>
      <w:t>1</w:t>
    </w:r>
    <w:r>
      <w:fldChar w:fldCharType="end"/>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7FDF48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仿宋_GB2312"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uiPriority w:val="0"/>
    <w:pPr>
      <w:keepNext/>
      <w:keepLines/>
      <w:widowControl w:val="0"/>
      <w:spacing w:before="340" w:after="330" w:line="578" w:lineRule="auto"/>
      <w:outlineLvl w:val="0"/>
    </w:pPr>
    <w:rPr>
      <w:b/>
      <w:bCs/>
      <w:kern w:val="44"/>
      <w:sz w:val="44"/>
    </w:rPr>
  </w:style>
  <w:style w:type="paragraph" w:styleId="3">
    <w:name w:val="heading 2"/>
    <w:basedOn w:val="1"/>
    <w:next w:val="1"/>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uiPriority w:val="0"/>
    <w:pPr>
      <w:keepNext/>
      <w:keepLines/>
      <w:widowControl w:val="0"/>
      <w:spacing w:before="260" w:after="260" w:line="415" w:lineRule="auto"/>
      <w:outlineLvl w:val="2"/>
    </w:pPr>
    <w:rPr>
      <w:b/>
      <w:sz w:val="32"/>
    </w:rPr>
  </w:style>
  <w:style w:type="character" w:default="1" w:styleId="9">
    <w:name w:val="Default Paragraph Font"/>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footer"/>
    <w:uiPriority w:val="0"/>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paragraph" w:styleId="6">
    <w:name w:val="header"/>
    <w:basedOn w:val="1"/>
    <w:uiPriority w:val="0"/>
    <w:pPr>
      <w:pBdr>
        <w:top w:val="none" w:color="auto" w:sz="0" w:space="0"/>
        <w:left w:val="none" w:color="auto" w:sz="0" w:space="0"/>
        <w:bottom w:val="none" w:color="auto" w:sz="0" w:space="0"/>
        <w:right w:val="none" w:color="auto" w:sz="0" w:space="0"/>
      </w:pBdr>
      <w:tabs>
        <w:tab w:val="center" w:pos="4153"/>
        <w:tab w:val="right" w:pos="8306"/>
      </w:tabs>
      <w:snapToGrid w:val="0"/>
      <w:spacing w:line="240" w:lineRule="auto"/>
      <w:jc w:val="both"/>
      <w:outlineLvl w:val="9"/>
    </w:pPr>
    <w:rPr>
      <w:sz w:val="18"/>
    </w:rPr>
  </w:style>
  <w:style w:type="paragraph" w:styleId="7">
    <w:name w:val="Normal (Web)"/>
    <w:basedOn w:val="1"/>
    <w:uiPriority w:val="0"/>
    <w:rPr>
      <w:sz w:val="24"/>
    </w:rPr>
  </w:style>
  <w:style w:type="character" w:styleId="10">
    <w:name w:val="page number"/>
    <w:uiPriority w:val="0"/>
  </w:style>
  <w:style w:type="character" w:customStyle="1" w:styleId="11">
    <w:name w:val="page number"/>
    <w:basedOn w:val="9"/>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Microsoft</Company>
  <TotalTime>0</TotalTime>
  <ScaleCrop>false</ScaleCrop>
  <LinksUpToDate>false</LinksUpToDate>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2019-07-02T08:19:00Z</dcterms:created>
  <dc:creator>AutoBVT</dc:creator>
  <cp:lastModifiedBy>茉莉</cp:lastModifiedBy>
  <cp:lastPrinted>2023-10-11T02:31:00Z</cp:lastPrinted>
  <dcterms:modified xsi:type="dcterms:W3CDTF">2023-10-30T00:59:43Z</dcterms:modified>
  <dc:title>AutoBVT</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82782C0E34E14C78878912AB106865B4_13</vt:lpwstr>
  </property>
</Properties>
</file>